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C1" w:rsidRPr="00752D70" w:rsidRDefault="004759C1" w:rsidP="00D16F3F">
      <w:pPr>
        <w:spacing w:before="60"/>
        <w:ind w:left="-180"/>
        <w:rPr>
          <w:rFonts w:ascii="Calibri" w:hAnsi="Calibri" w:cs="Calibri"/>
          <w:b/>
          <w:bCs/>
          <w:color w:val="4F81BD"/>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1" o:spid="_x0000_s1026" type="#_x0000_t75" alt="logo-plan_batiment_Durable Fond Blanc Small" style="position:absolute;left:0;text-align:left;margin-left:414pt;margin-top:-19.95pt;width:67.6pt;height:67.6pt;z-index:-251658240;visibility:visible" wrapcoords="-240 0 -240 21360 21600 21360 21600 0 -240 0">
            <v:imagedata r:id="rId7" o:title=""/>
            <w10:wrap type="through"/>
          </v:shape>
        </w:pict>
      </w:r>
    </w:p>
    <w:p w:rsidR="004759C1" w:rsidRPr="00D72D19" w:rsidRDefault="004759C1" w:rsidP="00D16F3F">
      <w:pPr>
        <w:spacing w:before="60"/>
        <w:ind w:left="-180"/>
        <w:rPr>
          <w:rFonts w:ascii="Calibri" w:hAnsi="Calibri" w:cs="Calibri"/>
          <w:b/>
          <w:bCs/>
          <w:color w:val="4F81BD"/>
          <w:sz w:val="28"/>
          <w:szCs w:val="28"/>
        </w:rPr>
      </w:pPr>
    </w:p>
    <w:p w:rsidR="004759C1" w:rsidRPr="00CE037F" w:rsidRDefault="004759C1" w:rsidP="00D16F3F">
      <w:pPr>
        <w:spacing w:before="60"/>
        <w:ind w:left="-180"/>
        <w:rPr>
          <w:rFonts w:ascii="Calibri" w:hAnsi="Calibri" w:cs="Calibri"/>
          <w:b/>
          <w:bCs/>
          <w:color w:val="4F81BD"/>
          <w:sz w:val="34"/>
          <w:szCs w:val="34"/>
        </w:rPr>
      </w:pPr>
      <w:r w:rsidRPr="00CE037F">
        <w:rPr>
          <w:rFonts w:ascii="Calibri" w:hAnsi="Calibri" w:cs="Calibri"/>
          <w:b/>
          <w:bCs/>
          <w:color w:val="4F81BD"/>
          <w:sz w:val="34"/>
          <w:szCs w:val="34"/>
        </w:rPr>
        <w:t>PLAN BATIMENT DURABLE</w:t>
      </w:r>
      <w:r w:rsidRPr="00CE037F">
        <w:rPr>
          <w:rFonts w:ascii="Calibri" w:hAnsi="Calibri" w:cs="Calibri"/>
          <w:b/>
          <w:bCs/>
          <w:color w:val="4F81BD"/>
          <w:sz w:val="34"/>
          <w:szCs w:val="34"/>
        </w:rPr>
        <w:br/>
        <w:t>Groupe de travail Réflexion Bâtiment Responsable 2020-2050 (RBR 2020-2050)</w:t>
      </w:r>
    </w:p>
    <w:p w:rsidR="004759C1" w:rsidRPr="003A7B58" w:rsidRDefault="004759C1" w:rsidP="00D16F3F">
      <w:pPr>
        <w:spacing w:before="60"/>
        <w:rPr>
          <w:rFonts w:ascii="Calibri" w:hAnsi="Calibri" w:cs="Calibri"/>
          <w:b/>
          <w:bCs/>
          <w:sz w:val="26"/>
          <w:szCs w:val="26"/>
        </w:rPr>
      </w:pPr>
    </w:p>
    <w:p w:rsidR="004759C1" w:rsidRPr="003A7B58" w:rsidRDefault="004759C1" w:rsidP="00D16F3F">
      <w:pPr>
        <w:spacing w:before="60"/>
        <w:jc w:val="both"/>
        <w:rPr>
          <w:rFonts w:ascii="Calibri" w:hAnsi="Calibri" w:cs="Calibri"/>
          <w:b/>
          <w:bCs/>
          <w:sz w:val="22"/>
          <w:szCs w:val="22"/>
        </w:rPr>
      </w:pPr>
    </w:p>
    <w:p w:rsidR="004759C1" w:rsidRPr="003A7B58"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b/>
          <w:bCs/>
          <w:i/>
          <w:iCs/>
          <w:sz w:val="20"/>
          <w:szCs w:val="20"/>
        </w:rPr>
      </w:pPr>
      <w:r w:rsidRPr="003A7B58">
        <w:rPr>
          <w:rFonts w:ascii="Calibri" w:hAnsi="Calibri" w:cs="Calibri"/>
          <w:b/>
          <w:bCs/>
          <w:i/>
          <w:iCs/>
          <w:sz w:val="20"/>
          <w:szCs w:val="20"/>
        </w:rPr>
        <w:t>Le groupe de travail RBR 2020-2050</w:t>
      </w:r>
    </w:p>
    <w:p w:rsidR="004759C1" w:rsidRPr="001C54B9"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sz w:val="20"/>
          <w:szCs w:val="20"/>
        </w:rPr>
      </w:pPr>
      <w:r w:rsidRPr="001C54B9">
        <w:rPr>
          <w:rFonts w:ascii="Calibri" w:hAnsi="Calibri" w:cs="Calibri"/>
          <w:sz w:val="20"/>
          <w:szCs w:val="20"/>
        </w:rPr>
        <w:t>La prochaine étape majeure pour le secteur de la construction neuve est la généralisation de Bâtiments Responsables intégrant les dimensions du développement durable : environnement, social, économie.</w:t>
      </w:r>
    </w:p>
    <w:p w:rsidR="004759C1"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sz w:val="20"/>
          <w:szCs w:val="20"/>
        </w:rPr>
      </w:pPr>
      <w:r w:rsidRPr="001C54B9">
        <w:rPr>
          <w:rFonts w:ascii="Calibri" w:hAnsi="Calibri" w:cs="Calibri"/>
          <w:sz w:val="20"/>
          <w:szCs w:val="20"/>
        </w:rPr>
        <w:t xml:space="preserve">Lancé en </w:t>
      </w:r>
      <w:r w:rsidRPr="003A7B58">
        <w:rPr>
          <w:rFonts w:ascii="Calibri" w:hAnsi="Calibri" w:cs="Calibri"/>
          <w:sz w:val="20"/>
          <w:szCs w:val="20"/>
        </w:rPr>
        <w:t xml:space="preserve"> 2011 et co-piloté par Alain Maugard (Qualibat) et Christian Cléret (Poste Immo), le groupe de travail RBR 2020-2050 du Plan Bâtiment Durable </w:t>
      </w:r>
      <w:r>
        <w:rPr>
          <w:rFonts w:ascii="Calibri" w:hAnsi="Calibri" w:cs="Calibri"/>
          <w:sz w:val="20"/>
          <w:szCs w:val="20"/>
        </w:rPr>
        <w:t>a</w:t>
      </w:r>
      <w:r w:rsidRPr="003A7B58">
        <w:rPr>
          <w:rFonts w:ascii="Calibri" w:hAnsi="Calibri" w:cs="Calibri"/>
          <w:sz w:val="20"/>
          <w:szCs w:val="20"/>
        </w:rPr>
        <w:t xml:space="preserve"> vocation à proposer une vision prospective et partagée des lignes forces des bâtiments responsables à l’horizon 2020.</w:t>
      </w:r>
    </w:p>
    <w:p w:rsidR="004759C1"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sz w:val="20"/>
          <w:szCs w:val="20"/>
        </w:rPr>
      </w:pPr>
      <w:r w:rsidRPr="003A7B58">
        <w:rPr>
          <w:rFonts w:ascii="Calibri" w:hAnsi="Calibri" w:cs="Calibri"/>
          <w:sz w:val="20"/>
          <w:szCs w:val="20"/>
        </w:rPr>
        <w:t xml:space="preserve">Plus d’informations </w:t>
      </w:r>
      <w:r>
        <w:rPr>
          <w:rFonts w:ascii="Calibri" w:hAnsi="Calibri" w:cs="Calibri"/>
          <w:sz w:val="20"/>
          <w:szCs w:val="20"/>
        </w:rPr>
        <w:t xml:space="preserve">sur </w:t>
      </w:r>
      <w:hyperlink r:id="rId8" w:history="1">
        <w:r w:rsidRPr="00C40806">
          <w:rPr>
            <w:rStyle w:val="Hyperlink"/>
            <w:rFonts w:ascii="Calibri" w:hAnsi="Calibri" w:cs="Calibri"/>
            <w:sz w:val="20"/>
            <w:szCs w:val="20"/>
          </w:rPr>
          <w:t>https://rbr20202050.wordpress.com/</w:t>
        </w:r>
      </w:hyperlink>
    </w:p>
    <w:p w:rsidR="004759C1" w:rsidRPr="00D16F3F"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sz w:val="16"/>
          <w:szCs w:val="16"/>
        </w:rPr>
      </w:pPr>
    </w:p>
    <w:p w:rsidR="004759C1" w:rsidRPr="003A7B58"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b/>
          <w:bCs/>
          <w:i/>
          <w:iCs/>
          <w:sz w:val="20"/>
          <w:szCs w:val="20"/>
        </w:rPr>
      </w:pPr>
      <w:r w:rsidRPr="003A7B58">
        <w:rPr>
          <w:rFonts w:ascii="Calibri" w:hAnsi="Calibri" w:cs="Calibri"/>
          <w:b/>
          <w:bCs/>
          <w:i/>
          <w:iCs/>
          <w:sz w:val="20"/>
          <w:szCs w:val="20"/>
        </w:rPr>
        <w:t xml:space="preserve">Les notes thématiques du groupe de travail </w:t>
      </w:r>
    </w:p>
    <w:p w:rsidR="004759C1" w:rsidRPr="003A7B58"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sz w:val="20"/>
          <w:szCs w:val="20"/>
        </w:rPr>
      </w:pPr>
      <w:r w:rsidRPr="003A7B58">
        <w:rPr>
          <w:rFonts w:ascii="Calibri" w:hAnsi="Calibri" w:cs="Calibri"/>
          <w:sz w:val="20"/>
          <w:szCs w:val="20"/>
        </w:rPr>
        <w:t>Après trois premiers rapports</w:t>
      </w:r>
      <w:r>
        <w:rPr>
          <w:rFonts w:ascii="Calibri" w:hAnsi="Calibri" w:cs="Calibri"/>
          <w:sz w:val="20"/>
          <w:szCs w:val="20"/>
        </w:rPr>
        <w:t xml:space="preserve"> publiés en 2012, 2013 et 2014, </w:t>
      </w:r>
      <w:r w:rsidRPr="003A7B58">
        <w:rPr>
          <w:rFonts w:ascii="Calibri" w:hAnsi="Calibri" w:cs="Calibri"/>
          <w:sz w:val="20"/>
          <w:szCs w:val="20"/>
        </w:rPr>
        <w:t>le groupe de travail a segmenté sa réflexion en sous-groupes thématiques :</w:t>
      </w:r>
    </w:p>
    <w:p w:rsidR="004759C1" w:rsidRDefault="004759C1" w:rsidP="001C54B9">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sz w:val="20"/>
          <w:szCs w:val="20"/>
        </w:rPr>
      </w:pPr>
      <w:r w:rsidRPr="003A7B58">
        <w:rPr>
          <w:rFonts w:ascii="Calibri" w:hAnsi="Calibri" w:cs="Calibri"/>
          <w:sz w:val="20"/>
          <w:szCs w:val="20"/>
        </w:rPr>
        <w:tab/>
      </w:r>
      <w:r w:rsidRPr="003A7B58">
        <w:rPr>
          <w:rFonts w:ascii="Calibri" w:hAnsi="Calibri" w:cs="Calibri"/>
          <w:sz w:val="20"/>
          <w:szCs w:val="20"/>
        </w:rPr>
        <w:tab/>
        <w:t>- bâtiments bas carbone</w:t>
      </w:r>
      <w:r>
        <w:rPr>
          <w:rFonts w:ascii="Calibri" w:hAnsi="Calibri" w:cs="Calibri"/>
          <w:sz w:val="20"/>
          <w:szCs w:val="20"/>
        </w:rPr>
        <w:t> ;</w:t>
      </w:r>
      <w:r w:rsidRPr="003A7B58">
        <w:rPr>
          <w:rFonts w:ascii="Calibri" w:hAnsi="Calibri" w:cs="Calibri"/>
          <w:sz w:val="20"/>
          <w:szCs w:val="20"/>
        </w:rPr>
        <w:t> </w:t>
      </w:r>
    </w:p>
    <w:p w:rsidR="004759C1" w:rsidRPr="003A7B58" w:rsidRDefault="004759C1" w:rsidP="001C54B9">
      <w:pPr>
        <w:pBdr>
          <w:top w:val="single" w:sz="4" w:space="1" w:color="auto"/>
          <w:left w:val="single" w:sz="4" w:space="4" w:color="auto"/>
          <w:bottom w:val="single" w:sz="4" w:space="1" w:color="auto"/>
          <w:right w:val="single" w:sz="4" w:space="4" w:color="auto"/>
        </w:pBdr>
        <w:spacing w:before="60"/>
        <w:ind w:left="-360" w:right="-468" w:firstLine="1068"/>
        <w:jc w:val="both"/>
        <w:rPr>
          <w:rFonts w:ascii="Calibri" w:hAnsi="Calibri" w:cs="Calibri"/>
          <w:sz w:val="20"/>
          <w:szCs w:val="20"/>
        </w:rPr>
      </w:pPr>
      <w:r>
        <w:rPr>
          <w:rFonts w:ascii="Calibri" w:hAnsi="Calibri" w:cs="Calibri"/>
          <w:sz w:val="20"/>
          <w:szCs w:val="20"/>
        </w:rPr>
        <w:t xml:space="preserve">- </w:t>
      </w:r>
      <w:r w:rsidRPr="003A7B58">
        <w:rPr>
          <w:rFonts w:ascii="Calibri" w:hAnsi="Calibri" w:cs="Calibri"/>
          <w:sz w:val="20"/>
          <w:szCs w:val="20"/>
        </w:rPr>
        <w:t>réseaux</w:t>
      </w:r>
      <w:r>
        <w:rPr>
          <w:rFonts w:ascii="Calibri" w:hAnsi="Calibri" w:cs="Calibri"/>
          <w:sz w:val="20"/>
          <w:szCs w:val="20"/>
        </w:rPr>
        <w:t>,</w:t>
      </w:r>
      <w:r w:rsidRPr="003A7B58">
        <w:rPr>
          <w:rFonts w:ascii="Calibri" w:hAnsi="Calibri" w:cs="Calibri"/>
          <w:sz w:val="20"/>
          <w:szCs w:val="20"/>
        </w:rPr>
        <w:t xml:space="preserve"> photovoltaïque et système électrique ;</w:t>
      </w:r>
    </w:p>
    <w:p w:rsidR="004759C1" w:rsidRPr="003A7B58" w:rsidRDefault="004759C1" w:rsidP="00D16F3F">
      <w:pPr>
        <w:pBdr>
          <w:top w:val="single" w:sz="4" w:space="1" w:color="auto"/>
          <w:left w:val="single" w:sz="4" w:space="4" w:color="auto"/>
          <w:bottom w:val="single" w:sz="4" w:space="1" w:color="auto"/>
          <w:right w:val="single" w:sz="4" w:space="4" w:color="auto"/>
        </w:pBdr>
        <w:spacing w:before="60"/>
        <w:ind w:left="-360" w:right="-468" w:firstLine="1068"/>
        <w:jc w:val="both"/>
        <w:rPr>
          <w:rFonts w:ascii="Calibri" w:hAnsi="Calibri" w:cs="Calibri"/>
          <w:sz w:val="20"/>
          <w:szCs w:val="20"/>
        </w:rPr>
      </w:pPr>
      <w:r w:rsidRPr="003A7B58">
        <w:rPr>
          <w:rFonts w:ascii="Calibri" w:hAnsi="Calibri" w:cs="Calibri"/>
          <w:sz w:val="20"/>
          <w:szCs w:val="20"/>
        </w:rPr>
        <w:t>- usages et mode</w:t>
      </w:r>
      <w:r>
        <w:rPr>
          <w:rFonts w:ascii="Calibri" w:hAnsi="Calibri" w:cs="Calibri"/>
          <w:sz w:val="20"/>
          <w:szCs w:val="20"/>
        </w:rPr>
        <w:t>s</w:t>
      </w:r>
      <w:r w:rsidRPr="003A7B58">
        <w:rPr>
          <w:rFonts w:ascii="Calibri" w:hAnsi="Calibri" w:cs="Calibri"/>
          <w:sz w:val="20"/>
          <w:szCs w:val="20"/>
        </w:rPr>
        <w:t xml:space="preserve"> de vie dans les bâtiments responsables ;</w:t>
      </w:r>
    </w:p>
    <w:p w:rsidR="004759C1" w:rsidRPr="003A7B58" w:rsidRDefault="004759C1" w:rsidP="00D16F3F">
      <w:pPr>
        <w:pBdr>
          <w:top w:val="single" w:sz="4" w:space="1" w:color="auto"/>
          <w:left w:val="single" w:sz="4" w:space="4" w:color="auto"/>
          <w:bottom w:val="single" w:sz="4" w:space="1" w:color="auto"/>
          <w:right w:val="single" w:sz="4" w:space="4" w:color="auto"/>
        </w:pBdr>
        <w:spacing w:before="60"/>
        <w:ind w:left="-360" w:right="-468" w:firstLine="1068"/>
        <w:jc w:val="both"/>
        <w:rPr>
          <w:rFonts w:ascii="Calibri" w:hAnsi="Calibri" w:cs="Calibri"/>
          <w:sz w:val="20"/>
          <w:szCs w:val="20"/>
        </w:rPr>
      </w:pPr>
      <w:r w:rsidRPr="003A7B58">
        <w:rPr>
          <w:rFonts w:ascii="Calibri" w:hAnsi="Calibri" w:cs="Calibri"/>
          <w:sz w:val="20"/>
          <w:szCs w:val="20"/>
        </w:rPr>
        <w:t>- économie et valeur des bâtiments responsables ;</w:t>
      </w:r>
    </w:p>
    <w:p w:rsidR="004759C1" w:rsidRPr="003A7B58" w:rsidRDefault="004759C1" w:rsidP="00D16F3F">
      <w:pPr>
        <w:pBdr>
          <w:top w:val="single" w:sz="4" w:space="1" w:color="auto"/>
          <w:left w:val="single" w:sz="4" w:space="4" w:color="auto"/>
          <w:bottom w:val="single" w:sz="4" w:space="1" w:color="auto"/>
          <w:right w:val="single" w:sz="4" w:space="4" w:color="auto"/>
        </w:pBdr>
        <w:spacing w:before="60"/>
        <w:ind w:left="-360" w:right="-468" w:firstLine="1068"/>
        <w:jc w:val="both"/>
        <w:rPr>
          <w:rFonts w:ascii="Calibri" w:hAnsi="Calibri" w:cs="Calibri"/>
          <w:sz w:val="20"/>
          <w:szCs w:val="20"/>
        </w:rPr>
      </w:pPr>
      <w:r w:rsidRPr="003A7B58">
        <w:rPr>
          <w:rFonts w:ascii="Calibri" w:hAnsi="Calibri" w:cs="Calibri"/>
          <w:sz w:val="20"/>
          <w:szCs w:val="20"/>
        </w:rPr>
        <w:t>- numérique et objets connectés ;</w:t>
      </w:r>
    </w:p>
    <w:p w:rsidR="004759C1" w:rsidRPr="003A7B58" w:rsidRDefault="004759C1" w:rsidP="00D16F3F">
      <w:pPr>
        <w:pBdr>
          <w:top w:val="single" w:sz="4" w:space="1" w:color="auto"/>
          <w:left w:val="single" w:sz="4" w:space="4" w:color="auto"/>
          <w:bottom w:val="single" w:sz="4" w:space="1" w:color="auto"/>
          <w:right w:val="single" w:sz="4" w:space="4" w:color="auto"/>
        </w:pBdr>
        <w:spacing w:before="60"/>
        <w:ind w:left="-360" w:right="-468" w:firstLine="1068"/>
        <w:jc w:val="both"/>
        <w:rPr>
          <w:rFonts w:ascii="Calibri" w:hAnsi="Calibri" w:cs="Calibri"/>
          <w:sz w:val="20"/>
          <w:szCs w:val="20"/>
        </w:rPr>
      </w:pPr>
      <w:r w:rsidRPr="003A7B58">
        <w:rPr>
          <w:rFonts w:ascii="Calibri" w:hAnsi="Calibri" w:cs="Calibri"/>
          <w:sz w:val="20"/>
          <w:szCs w:val="20"/>
        </w:rPr>
        <w:t>- ville adaptable.</w:t>
      </w:r>
    </w:p>
    <w:p w:rsidR="004759C1" w:rsidRPr="00D16F3F"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sz w:val="16"/>
          <w:szCs w:val="16"/>
        </w:rPr>
      </w:pPr>
    </w:p>
    <w:p w:rsidR="004759C1" w:rsidRPr="003A7B58"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sz w:val="20"/>
          <w:szCs w:val="20"/>
        </w:rPr>
      </w:pPr>
      <w:r>
        <w:rPr>
          <w:rFonts w:ascii="Calibri" w:hAnsi="Calibri" w:cs="Calibri"/>
          <w:sz w:val="20"/>
          <w:szCs w:val="20"/>
        </w:rPr>
        <w:t>Chacun de c</w:t>
      </w:r>
      <w:r w:rsidRPr="003A7B58">
        <w:rPr>
          <w:rFonts w:ascii="Calibri" w:hAnsi="Calibri" w:cs="Calibri"/>
          <w:sz w:val="20"/>
          <w:szCs w:val="20"/>
        </w:rPr>
        <w:t>es sous-groupes est conduit par un membre du groupe RBR 2020-2050.</w:t>
      </w:r>
    </w:p>
    <w:p w:rsidR="004759C1" w:rsidRPr="00D16F3F"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sz w:val="16"/>
          <w:szCs w:val="16"/>
        </w:rPr>
      </w:pPr>
    </w:p>
    <w:p w:rsidR="004759C1"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Style w:val="Hyperlink"/>
          <w:rFonts w:ascii="Calibri" w:hAnsi="Calibri" w:cs="Calibri"/>
          <w:sz w:val="20"/>
          <w:szCs w:val="20"/>
        </w:rPr>
      </w:pPr>
      <w:r w:rsidRPr="003A7B58">
        <w:rPr>
          <w:rFonts w:ascii="Calibri" w:hAnsi="Calibri" w:cs="Calibri"/>
          <w:b/>
          <w:bCs/>
          <w:sz w:val="20"/>
          <w:szCs w:val="20"/>
        </w:rPr>
        <w:t>Chaque sous-groupe est chargé de rédig</w:t>
      </w:r>
      <w:r>
        <w:rPr>
          <w:rFonts w:ascii="Calibri" w:hAnsi="Calibri" w:cs="Calibri"/>
          <w:b/>
          <w:bCs/>
          <w:sz w:val="20"/>
          <w:szCs w:val="20"/>
        </w:rPr>
        <w:t>er</w:t>
      </w:r>
      <w:r w:rsidRPr="003A7B58">
        <w:rPr>
          <w:rFonts w:ascii="Calibri" w:hAnsi="Calibri" w:cs="Calibri"/>
          <w:b/>
          <w:bCs/>
          <w:sz w:val="20"/>
          <w:szCs w:val="20"/>
        </w:rPr>
        <w:t xml:space="preserve"> une (ou plusieurs) note(s) thématique</w:t>
      </w:r>
      <w:r>
        <w:rPr>
          <w:rFonts w:ascii="Calibri" w:hAnsi="Calibri" w:cs="Calibri"/>
          <w:b/>
          <w:bCs/>
          <w:sz w:val="20"/>
          <w:szCs w:val="20"/>
        </w:rPr>
        <w:t xml:space="preserve">(s), ensuite soumise(s) </w:t>
      </w:r>
      <w:r w:rsidRPr="003A7B58">
        <w:rPr>
          <w:rFonts w:ascii="Calibri" w:hAnsi="Calibri" w:cs="Calibri"/>
          <w:b/>
          <w:bCs/>
          <w:sz w:val="20"/>
          <w:szCs w:val="20"/>
        </w:rPr>
        <w:t>au débat collaboratif de la filière</w:t>
      </w:r>
      <w:r>
        <w:rPr>
          <w:rFonts w:ascii="Calibri" w:hAnsi="Calibri" w:cs="Calibri"/>
          <w:b/>
          <w:bCs/>
          <w:sz w:val="20"/>
          <w:szCs w:val="20"/>
        </w:rPr>
        <w:t xml:space="preserve">. </w:t>
      </w:r>
    </w:p>
    <w:p w:rsidR="004759C1"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b/>
          <w:bCs/>
          <w:sz w:val="20"/>
          <w:szCs w:val="20"/>
        </w:rPr>
      </w:pPr>
      <w:r>
        <w:rPr>
          <w:rFonts w:ascii="Calibri" w:hAnsi="Calibri" w:cs="Calibri"/>
          <w:b/>
          <w:bCs/>
          <w:sz w:val="20"/>
          <w:szCs w:val="20"/>
        </w:rPr>
        <w:t xml:space="preserve">Vous pouvez contribuer à la rédaction de cette note en envoyant vos remarques jusqu’au  4 décembre 2015 à : </w:t>
      </w:r>
      <w:hyperlink r:id="rId9" w:history="1">
        <w:r w:rsidRPr="002640E5">
          <w:rPr>
            <w:rStyle w:val="Hyperlink"/>
            <w:rFonts w:ascii="Calibri" w:hAnsi="Calibri" w:cs="Calibri"/>
            <w:sz w:val="20"/>
            <w:szCs w:val="20"/>
          </w:rPr>
          <w:t>rbr20202050@gmail.com</w:t>
        </w:r>
      </w:hyperlink>
    </w:p>
    <w:p w:rsidR="004759C1" w:rsidRDefault="004759C1" w:rsidP="00085EF7">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b/>
          <w:bCs/>
          <w:sz w:val="20"/>
          <w:szCs w:val="20"/>
        </w:rPr>
      </w:pPr>
      <w:r w:rsidRPr="00385415">
        <w:rPr>
          <w:rFonts w:ascii="Calibri" w:hAnsi="Calibri" w:cs="Calibri"/>
          <w:b/>
          <w:bCs/>
          <w:sz w:val="20"/>
          <w:szCs w:val="20"/>
        </w:rPr>
        <w:br/>
      </w:r>
      <w:r>
        <w:rPr>
          <w:rFonts w:ascii="Calibri" w:hAnsi="Calibri" w:cs="Calibri"/>
          <w:b/>
          <w:bCs/>
          <w:sz w:val="20"/>
          <w:szCs w:val="20"/>
        </w:rPr>
        <w:t xml:space="preserve">La présente note porte sur  l’économie et la </w:t>
      </w:r>
      <w:r w:rsidRPr="00385415">
        <w:rPr>
          <w:rFonts w:ascii="Calibri" w:hAnsi="Calibri" w:cs="Calibri"/>
          <w:b/>
          <w:bCs/>
          <w:sz w:val="20"/>
          <w:szCs w:val="20"/>
        </w:rPr>
        <w:t>valeur</w:t>
      </w:r>
      <w:r>
        <w:rPr>
          <w:rFonts w:ascii="Calibri" w:hAnsi="Calibri" w:cs="Calibri"/>
          <w:b/>
          <w:bCs/>
          <w:sz w:val="20"/>
          <w:szCs w:val="20"/>
        </w:rPr>
        <w:t xml:space="preserve"> des bâtiments responsables. </w:t>
      </w:r>
    </w:p>
    <w:p w:rsidR="004759C1" w:rsidRPr="00D16F3F" w:rsidRDefault="004759C1" w:rsidP="00D16F3F">
      <w:pPr>
        <w:pBdr>
          <w:top w:val="single" w:sz="4" w:space="1" w:color="auto"/>
          <w:left w:val="single" w:sz="4" w:space="4" w:color="auto"/>
          <w:bottom w:val="single" w:sz="4" w:space="1" w:color="auto"/>
          <w:right w:val="single" w:sz="4" w:space="4" w:color="auto"/>
        </w:pBdr>
        <w:spacing w:before="60"/>
        <w:ind w:left="-360" w:right="-468"/>
        <w:jc w:val="both"/>
        <w:rPr>
          <w:rFonts w:ascii="Calibri" w:hAnsi="Calibri" w:cs="Calibri"/>
          <w:b/>
          <w:bCs/>
          <w:sz w:val="16"/>
          <w:szCs w:val="16"/>
        </w:rPr>
      </w:pPr>
    </w:p>
    <w:p w:rsidR="004759C1" w:rsidRPr="00F31C4C" w:rsidRDefault="004759C1" w:rsidP="00D16F3F">
      <w:pPr>
        <w:spacing w:before="60"/>
        <w:ind w:left="-360" w:right="-468"/>
        <w:rPr>
          <w:rFonts w:ascii="Calibri" w:hAnsi="Calibri" w:cs="Calibri"/>
          <w:b/>
          <w:bCs/>
          <w:sz w:val="22"/>
          <w:szCs w:val="22"/>
        </w:rPr>
      </w:pPr>
    </w:p>
    <w:p w:rsidR="004759C1" w:rsidRDefault="004759C1">
      <w:pPr>
        <w:rPr>
          <w:rFonts w:ascii="Calibri" w:hAnsi="Calibri" w:cs="Calibri"/>
          <w:b/>
          <w:bCs/>
          <w:sz w:val="22"/>
          <w:szCs w:val="22"/>
        </w:rPr>
      </w:pPr>
      <w:r>
        <w:rPr>
          <w:rFonts w:ascii="Calibri" w:hAnsi="Calibri" w:cs="Calibri"/>
          <w:b/>
          <w:bCs/>
          <w:sz w:val="22"/>
          <w:szCs w:val="22"/>
        </w:rPr>
        <w:br w:type="page"/>
      </w:r>
    </w:p>
    <w:p w:rsidR="004759C1" w:rsidRPr="00F31C4C" w:rsidRDefault="004759C1" w:rsidP="00D16F3F">
      <w:pPr>
        <w:spacing w:before="60"/>
        <w:ind w:left="-360" w:right="-468"/>
        <w:rPr>
          <w:rFonts w:ascii="Calibri" w:hAnsi="Calibri" w:cs="Calibri"/>
          <w:b/>
          <w:bCs/>
          <w:sz w:val="22"/>
          <w:szCs w:val="22"/>
        </w:rPr>
      </w:pPr>
    </w:p>
    <w:p w:rsidR="004759C1" w:rsidRDefault="004759C1" w:rsidP="00D16F3F">
      <w:pPr>
        <w:spacing w:before="60"/>
        <w:jc w:val="center"/>
        <w:rPr>
          <w:rFonts w:ascii="Calibri" w:hAnsi="Calibri" w:cs="Calibri"/>
          <w:b/>
          <w:bCs/>
          <w:color w:val="4F81BD"/>
          <w:sz w:val="54"/>
          <w:szCs w:val="54"/>
        </w:rPr>
      </w:pPr>
      <w:r w:rsidRPr="003A7B58">
        <w:rPr>
          <w:rFonts w:ascii="Calibri" w:hAnsi="Calibri" w:cs="Calibri"/>
          <w:b/>
          <w:bCs/>
          <w:color w:val="4F81BD"/>
          <w:sz w:val="54"/>
          <w:szCs w:val="54"/>
        </w:rPr>
        <w:t xml:space="preserve">Note thématique </w:t>
      </w:r>
      <w:r>
        <w:rPr>
          <w:rFonts w:ascii="Calibri" w:hAnsi="Calibri" w:cs="Calibri"/>
          <w:b/>
          <w:bCs/>
          <w:color w:val="4F81BD"/>
          <w:sz w:val="54"/>
          <w:szCs w:val="54"/>
        </w:rPr>
        <w:t>du groupe RBR</w:t>
      </w:r>
      <w:r w:rsidRPr="003A7B58">
        <w:rPr>
          <w:rFonts w:ascii="Calibri" w:hAnsi="Calibri" w:cs="Calibri"/>
          <w:b/>
          <w:bCs/>
          <w:color w:val="4F81BD"/>
          <w:sz w:val="54"/>
          <w:szCs w:val="54"/>
        </w:rPr>
        <w:t xml:space="preserve"> : </w:t>
      </w:r>
      <w:r w:rsidRPr="003A7B58">
        <w:rPr>
          <w:rFonts w:ascii="Calibri" w:hAnsi="Calibri" w:cs="Calibri"/>
          <w:b/>
          <w:bCs/>
          <w:color w:val="4F81BD"/>
          <w:sz w:val="54"/>
          <w:szCs w:val="54"/>
        </w:rPr>
        <w:br/>
        <w:t>« </w:t>
      </w:r>
      <w:r>
        <w:rPr>
          <w:rFonts w:ascii="Calibri" w:hAnsi="Calibri" w:cs="Calibri"/>
          <w:b/>
          <w:bCs/>
          <w:color w:val="4F81BD"/>
          <w:sz w:val="54"/>
          <w:szCs w:val="54"/>
        </w:rPr>
        <w:t>L’économie et la valeur des bâtiments responsables</w:t>
      </w:r>
      <w:r w:rsidRPr="003A7B58">
        <w:rPr>
          <w:rFonts w:ascii="Calibri" w:hAnsi="Calibri" w:cs="Calibri"/>
          <w:b/>
          <w:bCs/>
          <w:color w:val="4F81BD"/>
          <w:sz w:val="54"/>
          <w:szCs w:val="54"/>
        </w:rPr>
        <w:t> »</w:t>
      </w:r>
    </w:p>
    <w:p w:rsidR="004759C1" w:rsidRDefault="004759C1" w:rsidP="00D16F3F">
      <w:pPr>
        <w:spacing w:before="60"/>
        <w:jc w:val="center"/>
        <w:rPr>
          <w:rFonts w:ascii="Calibri" w:hAnsi="Calibri" w:cs="Calibri"/>
          <w:b/>
          <w:bCs/>
          <w:color w:val="4F81BD"/>
          <w:sz w:val="54"/>
          <w:szCs w:val="54"/>
        </w:rPr>
      </w:pPr>
    </w:p>
    <w:p w:rsidR="004759C1" w:rsidRDefault="004759C1" w:rsidP="00D16F3F">
      <w:pPr>
        <w:spacing w:before="60"/>
        <w:jc w:val="center"/>
        <w:rPr>
          <w:rFonts w:ascii="Calibri" w:hAnsi="Calibri" w:cs="Calibri"/>
          <w:b/>
          <w:bCs/>
          <w:color w:val="4F81BD"/>
          <w:sz w:val="54"/>
          <w:szCs w:val="54"/>
        </w:rPr>
        <w:sectPr w:rsidR="004759C1">
          <w:headerReference w:type="default" r:id="rId10"/>
          <w:footerReference w:type="default" r:id="rId11"/>
          <w:pgSz w:w="11906" w:h="16838"/>
          <w:pgMar w:top="1417" w:right="1417" w:bottom="1417" w:left="1417" w:header="708" w:footer="708" w:gutter="0"/>
          <w:cols w:space="708"/>
          <w:rtlGutter/>
          <w:docGrid w:linePitch="360"/>
        </w:sectPr>
      </w:pPr>
    </w:p>
    <w:p w:rsidR="004759C1" w:rsidRDefault="004759C1" w:rsidP="00D16F3F">
      <w:pPr>
        <w:spacing w:before="60"/>
        <w:jc w:val="both"/>
        <w:rPr>
          <w:rFonts w:ascii="Calibri" w:hAnsi="Calibri" w:cs="Calibri"/>
          <w:sz w:val="22"/>
          <w:szCs w:val="22"/>
          <w:lang w:eastAsia="en-US"/>
        </w:rPr>
      </w:pPr>
    </w:p>
    <w:p w:rsidR="004759C1" w:rsidRPr="000C686A" w:rsidRDefault="004759C1" w:rsidP="000C686A">
      <w:pPr>
        <w:keepNext/>
        <w:keepLines/>
        <w:spacing w:before="60"/>
        <w:outlineLvl w:val="1"/>
        <w:rPr>
          <w:rFonts w:ascii="Calibri" w:hAnsi="Calibri" w:cs="Calibri"/>
          <w:b/>
          <w:bCs/>
          <w:color w:val="4F81BD"/>
          <w:sz w:val="32"/>
          <w:szCs w:val="32"/>
          <w:lang w:eastAsia="en-US"/>
        </w:rPr>
      </w:pPr>
      <w:r>
        <w:rPr>
          <w:rFonts w:ascii="Calibri" w:hAnsi="Calibri" w:cs="Calibri"/>
          <w:b/>
          <w:bCs/>
          <w:color w:val="4F81BD"/>
          <w:sz w:val="32"/>
          <w:szCs w:val="32"/>
          <w:lang w:eastAsia="en-US"/>
        </w:rPr>
        <w:t>Quelques questions aux financeurs (Investisseurs, prêteurs)</w:t>
      </w:r>
    </w:p>
    <w:p w:rsidR="004759C1" w:rsidRPr="000C686A"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La fabrication de la ville est à la fois un élément déterminant de la transition énergétique et écologique, un facteur essentiel du vivre ensemble et un ensemble d’actifs immobiliers détenus à plus ou moins long terme par des investisseurs institutionnels et individuels qui représentent, à côté des investisseurs-utilisateurs, une partie prenante déterminante des choix de la commande urbaine.</w:t>
      </w:r>
    </w:p>
    <w:p w:rsidR="004759C1" w:rsidRPr="000C686A"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Le marché immobilier et ses valeurs, à travers ses variétés de territoire, de destination et de vétusté, est fondé sur :</w:t>
      </w:r>
    </w:p>
    <w:p w:rsidR="004759C1" w:rsidRPr="000C686A" w:rsidRDefault="004759C1" w:rsidP="00396027">
      <w:pPr>
        <w:numPr>
          <w:ilvl w:val="0"/>
          <w:numId w:val="8"/>
        </w:numPr>
        <w:spacing w:before="60"/>
        <w:jc w:val="both"/>
        <w:rPr>
          <w:rFonts w:ascii="Calibri" w:hAnsi="Calibri" w:cs="Calibri"/>
          <w:sz w:val="22"/>
          <w:szCs w:val="22"/>
          <w:lang w:eastAsia="en-US"/>
        </w:rPr>
      </w:pPr>
      <w:r w:rsidRPr="000C686A">
        <w:rPr>
          <w:rFonts w:ascii="Calibri" w:hAnsi="Calibri" w:cs="Calibri"/>
          <w:sz w:val="22"/>
          <w:szCs w:val="22"/>
          <w:lang w:eastAsia="en-US"/>
        </w:rPr>
        <w:t>la confiance en l’offre,</w:t>
      </w:r>
    </w:p>
    <w:p w:rsidR="004759C1" w:rsidRDefault="004759C1" w:rsidP="00396027">
      <w:pPr>
        <w:numPr>
          <w:ilvl w:val="0"/>
          <w:numId w:val="8"/>
        </w:numPr>
        <w:spacing w:before="60"/>
        <w:jc w:val="both"/>
        <w:rPr>
          <w:rFonts w:ascii="Calibri" w:hAnsi="Calibri" w:cs="Calibri"/>
          <w:sz w:val="22"/>
          <w:szCs w:val="22"/>
          <w:lang w:eastAsia="en-US"/>
        </w:rPr>
      </w:pPr>
      <w:r w:rsidRPr="000C686A">
        <w:rPr>
          <w:rFonts w:ascii="Calibri" w:hAnsi="Calibri" w:cs="Calibri"/>
          <w:sz w:val="22"/>
          <w:szCs w:val="22"/>
          <w:lang w:eastAsia="en-US"/>
        </w:rPr>
        <w:t xml:space="preserve">le besoin, la solvabilité et le désir de la  demande. </w:t>
      </w:r>
    </w:p>
    <w:p w:rsidR="004759C1" w:rsidRDefault="004759C1" w:rsidP="000C686A">
      <w:pPr>
        <w:spacing w:before="60"/>
        <w:jc w:val="both"/>
        <w:rPr>
          <w:rFonts w:ascii="Calibri" w:hAnsi="Calibri" w:cs="Calibri"/>
          <w:sz w:val="22"/>
          <w:szCs w:val="22"/>
          <w:lang w:eastAsia="en-US"/>
        </w:rPr>
      </w:pPr>
    </w:p>
    <w:p w:rsidR="004759C1" w:rsidRPr="000C686A" w:rsidRDefault="004759C1" w:rsidP="000C686A">
      <w:pPr>
        <w:spacing w:before="60"/>
        <w:jc w:val="both"/>
        <w:rPr>
          <w:rFonts w:ascii="Calibri" w:hAnsi="Calibri" w:cs="Calibri"/>
          <w:sz w:val="22"/>
          <w:szCs w:val="22"/>
          <w:lang w:eastAsia="en-US"/>
        </w:rPr>
      </w:pPr>
    </w:p>
    <w:p w:rsidR="004759C1" w:rsidRPr="000C686A" w:rsidRDefault="004759C1" w:rsidP="000C686A">
      <w:pPr>
        <w:keepNext/>
        <w:keepLines/>
        <w:spacing w:before="60"/>
        <w:jc w:val="both"/>
        <w:outlineLvl w:val="2"/>
        <w:rPr>
          <w:rFonts w:ascii="Calibri" w:hAnsi="Calibri" w:cs="Calibri"/>
          <w:b/>
          <w:bCs/>
          <w:color w:val="4F81BD"/>
          <w:sz w:val="28"/>
          <w:szCs w:val="28"/>
          <w:lang w:eastAsia="en-US"/>
        </w:rPr>
      </w:pPr>
      <w:r w:rsidRPr="000C686A">
        <w:rPr>
          <w:rFonts w:ascii="Calibri" w:hAnsi="Calibri" w:cs="Calibri"/>
          <w:b/>
          <w:bCs/>
          <w:color w:val="4F81BD"/>
          <w:sz w:val="28"/>
          <w:szCs w:val="28"/>
          <w:lang w:eastAsia="en-US"/>
        </w:rPr>
        <w:t xml:space="preserve">1/ </w:t>
      </w:r>
      <w:r>
        <w:rPr>
          <w:rFonts w:ascii="Calibri" w:hAnsi="Calibri" w:cs="Calibri"/>
          <w:b/>
          <w:bCs/>
          <w:color w:val="4F81BD"/>
          <w:sz w:val="28"/>
          <w:szCs w:val="28"/>
          <w:lang w:eastAsia="en-US"/>
        </w:rPr>
        <w:t xml:space="preserve">Fin de l’Immobilier « Valeur refuge » ? </w:t>
      </w:r>
    </w:p>
    <w:p w:rsidR="004759C1" w:rsidRPr="000C686A"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Les cycles immobiliers ont des évolutions de plus en plus erratiques : depuis le début de ce siècle, les cycles (voir tableau ci-après du prix des logements existants rapporté au revenu des ménages en France depuis un demi-siècle)  ne correspondent plus à des périodes de 10 à 15 ans, la volatilité s’accroit, les  bulles immobilières se multiplient.</w:t>
      </w:r>
    </w:p>
    <w:p w:rsidR="004759C1" w:rsidRPr="000C686A" w:rsidRDefault="004759C1" w:rsidP="000C686A">
      <w:pPr>
        <w:spacing w:before="60"/>
        <w:jc w:val="both"/>
        <w:rPr>
          <w:rFonts w:ascii="Calibri" w:hAnsi="Calibri" w:cs="Calibri"/>
          <w:sz w:val="22"/>
          <w:szCs w:val="22"/>
          <w:lang w:eastAsia="en-US"/>
        </w:rPr>
      </w:pPr>
    </w:p>
    <w:p w:rsidR="004759C1" w:rsidRPr="000C686A" w:rsidRDefault="004759C1" w:rsidP="000C686A">
      <w:pPr>
        <w:spacing w:before="60"/>
        <w:jc w:val="both"/>
        <w:rPr>
          <w:rFonts w:ascii="Calibri" w:hAnsi="Calibri" w:cs="Calibri"/>
          <w:sz w:val="22"/>
          <w:szCs w:val="22"/>
          <w:lang w:eastAsia="en-US"/>
        </w:rPr>
      </w:pPr>
    </w:p>
    <w:p w:rsidR="004759C1" w:rsidRPr="000C686A" w:rsidRDefault="004759C1" w:rsidP="000C686A">
      <w:pPr>
        <w:spacing w:before="60"/>
        <w:jc w:val="both"/>
        <w:rPr>
          <w:rFonts w:ascii="Calibri" w:hAnsi="Calibri" w:cs="Calibri"/>
          <w:sz w:val="22"/>
          <w:szCs w:val="22"/>
          <w:lang w:eastAsia="en-US"/>
        </w:rPr>
      </w:pPr>
      <w:r w:rsidRPr="00136CF7">
        <w:rPr>
          <w:rFonts w:ascii="Calibri" w:hAnsi="Calibri" w:cs="Calibri"/>
          <w:sz w:val="22"/>
          <w:szCs w:val="22"/>
          <w:lang w:eastAsia="en-US"/>
        </w:rPr>
        <w:pict>
          <v:shape id="Image 1" o:spid="_x0000_i1025" type="#_x0000_t75" alt="http://investir-et-devenir-libre.com/wp-content/uploads/2014/06/Indice-du-prix-des-logements-rapport%C3%A9-au-revenu-des-menages-Jacques-Friggit1.png" style="width:376.5pt;height:201.75pt;visibility:visible">
            <v:imagedata r:id="rId12" o:title=""/>
          </v:shape>
        </w:pict>
      </w:r>
    </w:p>
    <w:p w:rsidR="004759C1" w:rsidRPr="000C686A" w:rsidRDefault="004759C1" w:rsidP="000C686A">
      <w:pPr>
        <w:spacing w:before="60"/>
        <w:jc w:val="both"/>
        <w:rPr>
          <w:rFonts w:ascii="Calibri" w:hAnsi="Calibri" w:cs="Calibri"/>
          <w:sz w:val="22"/>
          <w:szCs w:val="22"/>
          <w:lang w:eastAsia="en-US"/>
        </w:rPr>
      </w:pPr>
    </w:p>
    <w:p w:rsidR="004759C1"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Quelle va être l’ampleur de la destruction/création de valeur marchande des actifs immobiliers dans les 35 ans qui viennent, dans le cadre du mouvement en cours d’une transition énergétique et écologique articulée à la 3ème révolution industrielle, fondée sur l’articulation du numérique et des énergies renouvelables, et aux nouveaux paradigmes émergeant sur cette période : allongement de la durée de la vie, doublement de la population urbaine, nouvel espace/temps, technologies émergentes, métropolisation, ville des flux et ville des lieux, etc ?</w:t>
      </w:r>
    </w:p>
    <w:p w:rsidR="004759C1" w:rsidRPr="000C686A" w:rsidRDefault="004759C1" w:rsidP="000C686A">
      <w:pPr>
        <w:spacing w:before="60"/>
        <w:jc w:val="both"/>
        <w:rPr>
          <w:rFonts w:ascii="Calibri" w:hAnsi="Calibri" w:cs="Calibri"/>
          <w:sz w:val="22"/>
          <w:szCs w:val="22"/>
          <w:lang w:eastAsia="en-US"/>
        </w:rPr>
      </w:pPr>
    </w:p>
    <w:p w:rsidR="004759C1" w:rsidRPr="000C686A"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Comment les acteurs de l’immobilier et les collectivités vont-ils affronter le choc, désormais programmé, de l’obsolescence :</w:t>
      </w:r>
    </w:p>
    <w:p w:rsidR="004759C1" w:rsidRPr="000C686A" w:rsidRDefault="004759C1" w:rsidP="00396027">
      <w:pPr>
        <w:numPr>
          <w:ilvl w:val="0"/>
          <w:numId w:val="9"/>
        </w:numPr>
        <w:spacing w:before="60"/>
        <w:jc w:val="both"/>
        <w:rPr>
          <w:rFonts w:ascii="Calibri" w:hAnsi="Calibri" w:cs="Calibri"/>
          <w:sz w:val="22"/>
          <w:szCs w:val="22"/>
          <w:lang w:eastAsia="en-US"/>
        </w:rPr>
      </w:pPr>
      <w:r w:rsidRPr="000C686A">
        <w:rPr>
          <w:rFonts w:ascii="Calibri" w:hAnsi="Calibri" w:cs="Calibri"/>
          <w:sz w:val="22"/>
          <w:szCs w:val="22"/>
          <w:lang w:eastAsia="en-US"/>
        </w:rPr>
        <w:t xml:space="preserve">Territoriale : attractivité et hybridation  </w:t>
      </w:r>
    </w:p>
    <w:p w:rsidR="004759C1" w:rsidRPr="000C686A" w:rsidRDefault="004759C1" w:rsidP="00396027">
      <w:pPr>
        <w:numPr>
          <w:ilvl w:val="0"/>
          <w:numId w:val="9"/>
        </w:numPr>
        <w:spacing w:before="60"/>
        <w:jc w:val="both"/>
        <w:rPr>
          <w:rFonts w:ascii="Calibri" w:hAnsi="Calibri" w:cs="Calibri"/>
          <w:sz w:val="22"/>
          <w:szCs w:val="22"/>
          <w:lang w:eastAsia="en-US"/>
        </w:rPr>
      </w:pPr>
      <w:r w:rsidRPr="000C686A">
        <w:rPr>
          <w:rFonts w:ascii="Calibri" w:hAnsi="Calibri" w:cs="Calibri"/>
          <w:sz w:val="22"/>
          <w:szCs w:val="22"/>
          <w:lang w:eastAsia="en-US"/>
        </w:rPr>
        <w:t xml:space="preserve">Sociologique : nouveaux  usages  </w:t>
      </w:r>
    </w:p>
    <w:p w:rsidR="004759C1" w:rsidRPr="000C686A" w:rsidRDefault="004759C1" w:rsidP="00396027">
      <w:pPr>
        <w:numPr>
          <w:ilvl w:val="0"/>
          <w:numId w:val="9"/>
        </w:numPr>
        <w:spacing w:before="60"/>
        <w:jc w:val="both"/>
        <w:rPr>
          <w:rFonts w:ascii="Calibri" w:hAnsi="Calibri" w:cs="Calibri"/>
          <w:sz w:val="22"/>
          <w:szCs w:val="22"/>
          <w:lang w:eastAsia="en-US"/>
        </w:rPr>
      </w:pPr>
      <w:r w:rsidRPr="000C686A">
        <w:rPr>
          <w:rFonts w:ascii="Calibri" w:hAnsi="Calibri" w:cs="Calibri"/>
          <w:sz w:val="22"/>
          <w:szCs w:val="22"/>
          <w:lang w:eastAsia="en-US"/>
        </w:rPr>
        <w:t>Économique : coût, confort et productivité, plateformes et métadonnées Big Data</w:t>
      </w:r>
    </w:p>
    <w:p w:rsidR="004759C1" w:rsidRPr="000C686A" w:rsidRDefault="004759C1" w:rsidP="00396027">
      <w:pPr>
        <w:numPr>
          <w:ilvl w:val="0"/>
          <w:numId w:val="9"/>
        </w:numPr>
        <w:spacing w:before="60"/>
        <w:jc w:val="both"/>
        <w:rPr>
          <w:rFonts w:ascii="Calibri" w:hAnsi="Calibri" w:cs="Calibri"/>
          <w:sz w:val="22"/>
          <w:szCs w:val="22"/>
          <w:lang w:eastAsia="en-US"/>
        </w:rPr>
      </w:pPr>
      <w:r w:rsidRPr="000C686A">
        <w:rPr>
          <w:rFonts w:ascii="Calibri" w:hAnsi="Calibri" w:cs="Calibri"/>
          <w:sz w:val="22"/>
          <w:szCs w:val="22"/>
          <w:lang w:eastAsia="en-US"/>
        </w:rPr>
        <w:t>Urbanistique et architecturale : relation à l’environnement, morphologie et métabolisme</w:t>
      </w:r>
    </w:p>
    <w:p w:rsidR="004759C1" w:rsidRPr="000C686A" w:rsidRDefault="004759C1" w:rsidP="00396027">
      <w:pPr>
        <w:numPr>
          <w:ilvl w:val="0"/>
          <w:numId w:val="9"/>
        </w:numPr>
        <w:spacing w:before="60"/>
        <w:jc w:val="both"/>
        <w:rPr>
          <w:rFonts w:ascii="Calibri" w:hAnsi="Calibri" w:cs="Calibri"/>
          <w:sz w:val="22"/>
          <w:szCs w:val="22"/>
          <w:lang w:eastAsia="en-US"/>
        </w:rPr>
      </w:pPr>
      <w:r w:rsidRPr="000C686A">
        <w:rPr>
          <w:rFonts w:ascii="Calibri" w:hAnsi="Calibri" w:cs="Calibri"/>
          <w:sz w:val="22"/>
          <w:szCs w:val="22"/>
          <w:lang w:eastAsia="en-US"/>
        </w:rPr>
        <w:t>Technique : performances de l’ouvrage, process (organisation collaborative et non séquentielle, matériaux et mise en œuvre)</w:t>
      </w:r>
    </w:p>
    <w:p w:rsidR="004759C1" w:rsidRDefault="004759C1" w:rsidP="00396027">
      <w:pPr>
        <w:numPr>
          <w:ilvl w:val="0"/>
          <w:numId w:val="9"/>
        </w:numPr>
        <w:spacing w:before="60"/>
        <w:jc w:val="both"/>
        <w:rPr>
          <w:rFonts w:ascii="Calibri" w:hAnsi="Calibri" w:cs="Calibri"/>
          <w:sz w:val="22"/>
          <w:szCs w:val="22"/>
          <w:lang w:eastAsia="en-US"/>
        </w:rPr>
      </w:pPr>
      <w:r w:rsidRPr="000C686A">
        <w:rPr>
          <w:rFonts w:ascii="Calibri" w:hAnsi="Calibri" w:cs="Calibri"/>
          <w:sz w:val="22"/>
          <w:szCs w:val="22"/>
          <w:lang w:eastAsia="en-US"/>
        </w:rPr>
        <w:t>Réglementaire : sécurité, santé, environnement, énergie.</w:t>
      </w:r>
    </w:p>
    <w:p w:rsidR="004759C1" w:rsidRPr="000C686A" w:rsidRDefault="004759C1" w:rsidP="00396027">
      <w:pPr>
        <w:spacing w:before="60"/>
        <w:ind w:left="360"/>
        <w:jc w:val="both"/>
        <w:rPr>
          <w:rFonts w:ascii="Calibri" w:hAnsi="Calibri" w:cs="Calibri"/>
          <w:sz w:val="22"/>
          <w:szCs w:val="22"/>
          <w:lang w:eastAsia="en-US"/>
        </w:rPr>
      </w:pPr>
    </w:p>
    <w:p w:rsidR="004759C1"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 xml:space="preserve">Comment gérer cette obsolescence et cette destruction de valeur urbaine et immobilière prévisible ? </w:t>
      </w:r>
    </w:p>
    <w:p w:rsidR="004759C1" w:rsidRDefault="004759C1" w:rsidP="000C686A">
      <w:pPr>
        <w:spacing w:before="60"/>
        <w:jc w:val="both"/>
        <w:rPr>
          <w:rFonts w:ascii="Calibri" w:hAnsi="Calibri" w:cs="Calibri"/>
          <w:sz w:val="22"/>
          <w:szCs w:val="22"/>
          <w:lang w:eastAsia="en-US"/>
        </w:rPr>
      </w:pPr>
    </w:p>
    <w:p w:rsidR="004759C1" w:rsidRPr="000C686A" w:rsidRDefault="004759C1" w:rsidP="000C686A">
      <w:pPr>
        <w:spacing w:before="60"/>
        <w:jc w:val="both"/>
        <w:rPr>
          <w:rFonts w:ascii="Calibri" w:hAnsi="Calibri" w:cs="Calibri"/>
          <w:sz w:val="22"/>
          <w:szCs w:val="22"/>
          <w:lang w:eastAsia="en-US"/>
        </w:rPr>
      </w:pPr>
    </w:p>
    <w:p w:rsidR="004759C1" w:rsidRPr="000C686A" w:rsidRDefault="004759C1" w:rsidP="000C686A">
      <w:pPr>
        <w:keepNext/>
        <w:keepLines/>
        <w:spacing w:before="60"/>
        <w:jc w:val="both"/>
        <w:outlineLvl w:val="2"/>
        <w:rPr>
          <w:rFonts w:ascii="Calibri" w:hAnsi="Calibri" w:cs="Calibri"/>
          <w:b/>
          <w:bCs/>
          <w:color w:val="4F81BD"/>
          <w:sz w:val="28"/>
          <w:szCs w:val="28"/>
          <w:lang w:eastAsia="en-US"/>
        </w:rPr>
      </w:pPr>
      <w:r w:rsidRPr="000C686A">
        <w:rPr>
          <w:rFonts w:ascii="Calibri" w:hAnsi="Calibri" w:cs="Calibri"/>
          <w:b/>
          <w:bCs/>
          <w:color w:val="4F81BD"/>
          <w:sz w:val="28"/>
          <w:szCs w:val="28"/>
          <w:lang w:eastAsia="en-US"/>
        </w:rPr>
        <w:t xml:space="preserve">2/ </w:t>
      </w:r>
      <w:r>
        <w:rPr>
          <w:rFonts w:ascii="Calibri" w:hAnsi="Calibri" w:cs="Calibri"/>
          <w:b/>
          <w:bCs/>
          <w:color w:val="4F81BD"/>
          <w:sz w:val="28"/>
          <w:szCs w:val="28"/>
          <w:lang w:eastAsia="en-US"/>
        </w:rPr>
        <w:t>Valeur et économie de la fonctionnalité</w:t>
      </w:r>
    </w:p>
    <w:p w:rsidR="004759C1" w:rsidRPr="000C686A"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Cette valeur marchande, fondée sur l’économie de la propriété, et la confiance en la plus-value à terme ne vont-elle pas progressivement passer au second plan avec :</w:t>
      </w:r>
    </w:p>
    <w:p w:rsidR="004759C1" w:rsidRPr="000C686A" w:rsidRDefault="004759C1" w:rsidP="00396027">
      <w:pPr>
        <w:numPr>
          <w:ilvl w:val="0"/>
          <w:numId w:val="10"/>
        </w:numPr>
        <w:spacing w:before="60"/>
        <w:jc w:val="both"/>
        <w:rPr>
          <w:rFonts w:ascii="Calibri" w:hAnsi="Calibri" w:cs="Calibri"/>
          <w:sz w:val="22"/>
          <w:szCs w:val="22"/>
          <w:lang w:eastAsia="en-US"/>
        </w:rPr>
      </w:pPr>
      <w:r w:rsidRPr="000C686A">
        <w:rPr>
          <w:rFonts w:ascii="Calibri" w:hAnsi="Calibri" w:cs="Calibri"/>
          <w:sz w:val="22"/>
          <w:szCs w:val="22"/>
          <w:lang w:eastAsia="en-US"/>
        </w:rPr>
        <w:t>La perte d’attractivité de certains territoires, désormais hiérarchisés dans le phénomène de métropolisation,</w:t>
      </w:r>
    </w:p>
    <w:p w:rsidR="004759C1" w:rsidRDefault="004759C1" w:rsidP="00396027">
      <w:pPr>
        <w:numPr>
          <w:ilvl w:val="0"/>
          <w:numId w:val="10"/>
        </w:numPr>
        <w:spacing w:before="60"/>
        <w:jc w:val="both"/>
        <w:rPr>
          <w:rFonts w:ascii="Calibri" w:hAnsi="Calibri" w:cs="Calibri"/>
          <w:sz w:val="22"/>
          <w:szCs w:val="22"/>
          <w:lang w:eastAsia="en-US"/>
        </w:rPr>
      </w:pPr>
      <w:r w:rsidRPr="000C686A">
        <w:rPr>
          <w:rFonts w:ascii="Calibri" w:hAnsi="Calibri" w:cs="Calibri"/>
          <w:sz w:val="22"/>
          <w:szCs w:val="22"/>
          <w:lang w:eastAsia="en-US"/>
        </w:rPr>
        <w:t xml:space="preserve">la montée de l’économie de la fonctionnalité, dans laquelle l’usage et les services rendus de l’actif immobilier, par ailleurs fondements essentiels de sa valorisation, deviennent plus importants que sa propriété ? </w:t>
      </w:r>
    </w:p>
    <w:p w:rsidR="004759C1" w:rsidRPr="000C686A" w:rsidRDefault="004759C1" w:rsidP="00396027">
      <w:pPr>
        <w:spacing w:before="60"/>
        <w:ind w:left="360"/>
        <w:jc w:val="both"/>
        <w:rPr>
          <w:rFonts w:ascii="Calibri" w:hAnsi="Calibri" w:cs="Calibri"/>
          <w:sz w:val="22"/>
          <w:szCs w:val="22"/>
          <w:lang w:eastAsia="en-US"/>
        </w:rPr>
      </w:pPr>
    </w:p>
    <w:p w:rsidR="004759C1" w:rsidRPr="000C686A"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 xml:space="preserve">L’ère des plateformes de recherche, de réservation et de recommandation est en marche. A titre d’exemple, Booking.com capte aujourd’hui une part conséquente des profits de l’industrie hôtelière. </w:t>
      </w:r>
    </w:p>
    <w:p w:rsidR="004759C1"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AirbedandBreakfast , devenu en 2009 Airbnb est un premier exemple d’un groupe hôtelier planétaire (un million de logements et de chambres offerts dans 190 pays, le double du groupe Accor, capitalisation boursière qui serait de 24 milliards de $, également deux fois celle du groupe Accor), mais sans aucune propriété immobilière. Ce modèle appliqué au domaine résidentiel ne peut-il pas s’appliquer à d’autres segments de l’immobilier, par exemple tertiaire (co-working, télétravail, nomadisme,  «uberisation» d’activités non salariées)?</w:t>
      </w:r>
    </w:p>
    <w:p w:rsidR="004759C1" w:rsidRPr="000C686A" w:rsidRDefault="004759C1" w:rsidP="000C686A">
      <w:pPr>
        <w:spacing w:before="60"/>
        <w:jc w:val="both"/>
        <w:rPr>
          <w:rFonts w:ascii="Calibri" w:hAnsi="Calibri" w:cs="Calibri"/>
          <w:sz w:val="22"/>
          <w:szCs w:val="22"/>
          <w:lang w:eastAsia="en-US"/>
        </w:rPr>
      </w:pPr>
    </w:p>
    <w:p w:rsidR="004759C1"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La valeur marchande du bien matériel résistera-t-elle à  la valeur boursière de l’entreprise qui contrôle la plateforme, c’est-à-dire le logiciel monopolistique mettant en relation de façon sécurisée offre, demande, et double notation, les propriétaires devenant de simples prestataires de la société contrôlant le logiciel et la valeur du bien immobilier ?</w:t>
      </w:r>
    </w:p>
    <w:p w:rsidR="004759C1" w:rsidRPr="000C686A" w:rsidRDefault="004759C1" w:rsidP="000C686A">
      <w:pPr>
        <w:spacing w:before="60"/>
        <w:jc w:val="both"/>
        <w:rPr>
          <w:rFonts w:ascii="Calibri" w:hAnsi="Calibri" w:cs="Calibri"/>
          <w:sz w:val="22"/>
          <w:szCs w:val="22"/>
          <w:lang w:eastAsia="en-US"/>
        </w:rPr>
      </w:pPr>
    </w:p>
    <w:p w:rsidR="004759C1" w:rsidRPr="000C686A"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Ce modèle inspire de nombreuses initiatives et start-up s’attaquant aux entreprises de prestations de service (agences immobilières et courtiers) et de trava</w:t>
      </w:r>
      <w:r>
        <w:rPr>
          <w:rFonts w:ascii="Calibri" w:hAnsi="Calibri" w:cs="Calibri"/>
          <w:sz w:val="22"/>
          <w:szCs w:val="22"/>
          <w:lang w:eastAsia="en-US"/>
        </w:rPr>
        <w:t>ux dans le domaine immobilier (</w:t>
      </w:r>
      <w:r w:rsidRPr="000C686A">
        <w:rPr>
          <w:rFonts w:ascii="Calibri" w:hAnsi="Calibri" w:cs="Calibri"/>
          <w:sz w:val="22"/>
          <w:szCs w:val="22"/>
          <w:lang w:eastAsia="en-US"/>
        </w:rPr>
        <w:t>voir par exemple Home Services d’Amazon mettant en relation offre et demande, de façon sécurisée, d’un million de prestations, dont des électriciens et des plombiers, dans une vingtaine de grandes villes américaines)?</w:t>
      </w:r>
    </w:p>
    <w:p w:rsidR="004759C1" w:rsidRPr="00EF32AB" w:rsidRDefault="004759C1" w:rsidP="000C686A">
      <w:pPr>
        <w:spacing w:before="240" w:line="360" w:lineRule="auto"/>
        <w:jc w:val="both"/>
      </w:pPr>
    </w:p>
    <w:p w:rsidR="004759C1" w:rsidRPr="000C686A" w:rsidRDefault="004759C1" w:rsidP="000C686A">
      <w:pPr>
        <w:keepNext/>
        <w:keepLines/>
        <w:spacing w:before="60"/>
        <w:jc w:val="both"/>
        <w:outlineLvl w:val="2"/>
        <w:rPr>
          <w:rFonts w:ascii="Calibri" w:hAnsi="Calibri" w:cs="Calibri"/>
          <w:b/>
          <w:bCs/>
          <w:color w:val="4F81BD"/>
          <w:sz w:val="28"/>
          <w:szCs w:val="28"/>
          <w:lang w:eastAsia="en-US"/>
        </w:rPr>
      </w:pPr>
      <w:r w:rsidRPr="000C686A">
        <w:rPr>
          <w:rFonts w:ascii="Calibri" w:hAnsi="Calibri" w:cs="Calibri"/>
          <w:b/>
          <w:bCs/>
          <w:color w:val="4F81BD"/>
          <w:sz w:val="28"/>
          <w:szCs w:val="28"/>
          <w:lang w:eastAsia="en-US"/>
        </w:rPr>
        <w:t xml:space="preserve">3/ </w:t>
      </w:r>
      <w:r>
        <w:rPr>
          <w:rFonts w:ascii="Calibri" w:hAnsi="Calibri" w:cs="Calibri"/>
          <w:b/>
          <w:bCs/>
          <w:color w:val="4F81BD"/>
          <w:sz w:val="28"/>
          <w:szCs w:val="28"/>
          <w:lang w:eastAsia="en-US"/>
        </w:rPr>
        <w:t xml:space="preserve">Coût du cycle de vie des actifs immobiliers, prix du carbone et économie circulaire </w:t>
      </w:r>
    </w:p>
    <w:p w:rsidR="004759C1"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Parallèlement, la flexibilité du marché de l’emploi, le besoin de mobilité de la main d’œuvre et de proximité du trajet domicile-travail, ajoutés au développement d’une société de l’usage ne remettent ils pas en cause une partie du désir de propriété d’immobilier, c’est-à-dire de la demande ?</w:t>
      </w:r>
    </w:p>
    <w:p w:rsidR="004759C1" w:rsidRPr="000C686A" w:rsidRDefault="004759C1" w:rsidP="000C686A">
      <w:pPr>
        <w:spacing w:before="60"/>
        <w:jc w:val="both"/>
        <w:rPr>
          <w:rFonts w:ascii="Calibri" w:hAnsi="Calibri" w:cs="Calibri"/>
          <w:sz w:val="22"/>
          <w:szCs w:val="22"/>
          <w:lang w:eastAsia="en-US"/>
        </w:rPr>
      </w:pPr>
    </w:p>
    <w:p w:rsidR="004759C1" w:rsidRPr="000C686A"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Ainsi, au côté de  l’économie de la fonctionnalité, ne va-t-il pas se développer une économie circulaire qui va fonder de nouveaux business models de la « conception-production-gestion-déconstruction » des actifs immobiliers au sein de la ville durable, substituant progressivement, à partir d’une démarche bas carbone vertueuse :</w:t>
      </w:r>
    </w:p>
    <w:p w:rsidR="004759C1" w:rsidRPr="000C686A" w:rsidRDefault="004759C1" w:rsidP="00396027">
      <w:pPr>
        <w:numPr>
          <w:ilvl w:val="0"/>
          <w:numId w:val="11"/>
        </w:numPr>
        <w:spacing w:before="60"/>
        <w:jc w:val="both"/>
        <w:rPr>
          <w:rFonts w:ascii="Calibri" w:hAnsi="Calibri" w:cs="Calibri"/>
          <w:sz w:val="22"/>
          <w:szCs w:val="22"/>
          <w:lang w:eastAsia="en-US"/>
        </w:rPr>
      </w:pPr>
      <w:r w:rsidRPr="000C686A">
        <w:rPr>
          <w:rFonts w:ascii="Calibri" w:hAnsi="Calibri" w:cs="Calibri"/>
          <w:sz w:val="22"/>
          <w:szCs w:val="22"/>
          <w:lang w:eastAsia="en-US"/>
        </w:rPr>
        <w:t xml:space="preserve">De nouveaux modes constructifs (filière sèche) aux anciens </w:t>
      </w:r>
    </w:p>
    <w:p w:rsidR="004759C1" w:rsidRDefault="004759C1" w:rsidP="000C686A">
      <w:pPr>
        <w:numPr>
          <w:ilvl w:val="0"/>
          <w:numId w:val="11"/>
        </w:numPr>
        <w:spacing w:before="60"/>
        <w:jc w:val="both"/>
        <w:rPr>
          <w:rFonts w:ascii="Calibri" w:hAnsi="Calibri" w:cs="Calibri"/>
          <w:sz w:val="22"/>
          <w:szCs w:val="22"/>
          <w:lang w:eastAsia="en-US"/>
        </w:rPr>
      </w:pPr>
      <w:r>
        <w:rPr>
          <w:rFonts w:ascii="Calibri" w:hAnsi="Calibri" w:cs="Calibri"/>
          <w:sz w:val="22"/>
          <w:szCs w:val="22"/>
          <w:lang w:eastAsia="en-US"/>
        </w:rPr>
        <w:t>T</w:t>
      </w:r>
      <w:r w:rsidRPr="000C686A">
        <w:rPr>
          <w:rFonts w:ascii="Calibri" w:hAnsi="Calibri" w:cs="Calibri"/>
          <w:sz w:val="22"/>
          <w:szCs w:val="22"/>
          <w:lang w:eastAsia="en-US"/>
        </w:rPr>
        <w:t>out au long du cycle de vie du bâtiment : un travail collaboratif et non plus travail séquentiel distinguant, voire séparant, la propriété de l’usage, avec de nouveaux concepts notamment en termes d’échelle (TEPOS</w:t>
      </w:r>
      <w:r w:rsidRPr="000C686A">
        <w:rPr>
          <w:rFonts w:ascii="Calibri" w:hAnsi="Calibri" w:cs="Calibri"/>
          <w:sz w:val="22"/>
          <w:szCs w:val="22"/>
          <w:lang w:eastAsia="en-US"/>
        </w:rPr>
        <w:footnoteReference w:id="2"/>
      </w:r>
      <w:r w:rsidRPr="000C686A">
        <w:rPr>
          <w:rFonts w:ascii="Calibri" w:hAnsi="Calibri" w:cs="Calibri"/>
          <w:sz w:val="22"/>
          <w:szCs w:val="22"/>
          <w:lang w:eastAsia="en-US"/>
        </w:rPr>
        <w:t>) et de nouveaux outils adaptés (BIM</w:t>
      </w:r>
      <w:r w:rsidRPr="000C686A">
        <w:rPr>
          <w:rFonts w:ascii="Calibri" w:hAnsi="Calibri" w:cs="Calibri"/>
          <w:sz w:val="22"/>
          <w:szCs w:val="22"/>
          <w:lang w:eastAsia="en-US"/>
        </w:rPr>
        <w:footnoteReference w:id="3"/>
      </w:r>
      <w:r w:rsidRPr="000C686A">
        <w:rPr>
          <w:rFonts w:ascii="Calibri" w:hAnsi="Calibri" w:cs="Calibri"/>
          <w:sz w:val="22"/>
          <w:szCs w:val="22"/>
          <w:lang w:eastAsia="en-US"/>
        </w:rPr>
        <w:t>).</w:t>
      </w:r>
    </w:p>
    <w:p w:rsidR="004759C1" w:rsidRPr="000C686A" w:rsidRDefault="004759C1" w:rsidP="00396027">
      <w:pPr>
        <w:spacing w:before="60"/>
        <w:ind w:left="360"/>
        <w:jc w:val="both"/>
        <w:rPr>
          <w:rFonts w:ascii="Calibri" w:hAnsi="Calibri" w:cs="Calibri"/>
          <w:sz w:val="22"/>
          <w:szCs w:val="22"/>
          <w:lang w:eastAsia="en-US"/>
        </w:rPr>
      </w:pPr>
    </w:p>
    <w:p w:rsidR="004759C1" w:rsidRPr="000C686A"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 xml:space="preserve">En particulier, ne faut-il pas désormais intégrer dans tous les calculs de rentabilité de l’investissement un prix du carbone ? </w:t>
      </w:r>
    </w:p>
    <w:p w:rsidR="004759C1"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La loi sur la transition énergétique du 17 août 2015, dans son article 1, point VIII, a défini des perspectives du prix de la tonne de carbone : 56 € en 2020, 100 € en 2030.</w:t>
      </w:r>
    </w:p>
    <w:p w:rsidR="004759C1" w:rsidRDefault="004759C1" w:rsidP="000C686A">
      <w:pPr>
        <w:spacing w:before="60"/>
        <w:jc w:val="both"/>
        <w:rPr>
          <w:rFonts w:ascii="Calibri" w:hAnsi="Calibri" w:cs="Calibri"/>
          <w:sz w:val="22"/>
          <w:szCs w:val="22"/>
          <w:lang w:eastAsia="en-US"/>
        </w:rPr>
      </w:pPr>
    </w:p>
    <w:p w:rsidR="004759C1" w:rsidRPr="000C686A" w:rsidRDefault="004759C1" w:rsidP="000C686A">
      <w:pPr>
        <w:spacing w:before="60"/>
        <w:jc w:val="both"/>
        <w:rPr>
          <w:rFonts w:ascii="Calibri" w:hAnsi="Calibri" w:cs="Calibri"/>
          <w:sz w:val="22"/>
          <w:szCs w:val="22"/>
          <w:lang w:eastAsia="en-US"/>
        </w:rPr>
      </w:pPr>
    </w:p>
    <w:p w:rsidR="004759C1" w:rsidRPr="000C686A" w:rsidRDefault="004759C1" w:rsidP="000C686A">
      <w:pPr>
        <w:keepNext/>
        <w:keepLines/>
        <w:spacing w:before="60"/>
        <w:jc w:val="both"/>
        <w:outlineLvl w:val="2"/>
        <w:rPr>
          <w:rFonts w:ascii="Calibri" w:hAnsi="Calibri" w:cs="Calibri"/>
          <w:b/>
          <w:bCs/>
          <w:color w:val="4F81BD"/>
          <w:sz w:val="28"/>
          <w:szCs w:val="28"/>
          <w:lang w:eastAsia="en-US"/>
        </w:rPr>
      </w:pPr>
      <w:r w:rsidRPr="000C686A">
        <w:rPr>
          <w:rFonts w:ascii="Calibri" w:hAnsi="Calibri" w:cs="Calibri"/>
          <w:b/>
          <w:bCs/>
          <w:color w:val="4F81BD"/>
          <w:sz w:val="28"/>
          <w:szCs w:val="28"/>
          <w:lang w:eastAsia="en-US"/>
        </w:rPr>
        <w:t xml:space="preserve">4/ </w:t>
      </w:r>
      <w:r>
        <w:rPr>
          <w:rFonts w:ascii="Calibri" w:hAnsi="Calibri" w:cs="Calibri"/>
          <w:b/>
          <w:bCs/>
          <w:color w:val="4F81BD"/>
          <w:sz w:val="28"/>
          <w:szCs w:val="28"/>
          <w:lang w:eastAsia="en-US"/>
        </w:rPr>
        <w:t>Valeur marchande, valeur non marchande et destruction créatrice</w:t>
      </w:r>
    </w:p>
    <w:p w:rsidR="004759C1"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 xml:space="preserve">Dans ces développements, quelles seront, en fonction des échelles, des territoires et des produits, la part marchande (cash-flow et perspective de plus-value, gestion de risque du marché et gestion du risque d’un bien) et la part non marchande (mutualisation, mutabilité, empreinte carbone, responsabilité sociétale, capital symbolique) de ces nouveaux processus ? </w:t>
      </w:r>
    </w:p>
    <w:p w:rsidR="004759C1" w:rsidRPr="000C686A" w:rsidRDefault="004759C1" w:rsidP="000C686A">
      <w:pPr>
        <w:spacing w:before="60"/>
        <w:jc w:val="both"/>
        <w:rPr>
          <w:rFonts w:ascii="Calibri" w:hAnsi="Calibri" w:cs="Calibri"/>
          <w:sz w:val="22"/>
          <w:szCs w:val="22"/>
          <w:lang w:eastAsia="en-US"/>
        </w:rPr>
      </w:pPr>
    </w:p>
    <w:p w:rsidR="004759C1"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Par ailleurs, l’allongement spectaculaire de la durée de vie qui introduit une génération de plus dans le parcours urbain conduit également à retarder la transmission patrimoniale par voie d’héritage et pourrait ainsi réanimer le marché du viager.</w:t>
      </w:r>
    </w:p>
    <w:p w:rsidR="004759C1" w:rsidRPr="000C686A" w:rsidRDefault="004759C1" w:rsidP="000C686A">
      <w:pPr>
        <w:spacing w:before="60"/>
        <w:jc w:val="both"/>
        <w:rPr>
          <w:rFonts w:ascii="Calibri" w:hAnsi="Calibri" w:cs="Calibri"/>
          <w:sz w:val="22"/>
          <w:szCs w:val="22"/>
          <w:lang w:eastAsia="en-US"/>
        </w:rPr>
      </w:pPr>
    </w:p>
    <w:p w:rsidR="004759C1"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 xml:space="preserve"> Enfin, la tentation de contrôler de mieux en mieux l’évolution des prix du foncier, véritable valeur d’ajustement des prix de l’immobilier, et de récupérer ainsi la rente foncière, ne conduit-elle pas progressivement à un démembrement de l’assiette foncière louée sur longues périodes, éventuellement rechargeables, à l’exemple de Londres, des villes nouvelles des pays scandinaves ou des Hospices civils de Lyon (baux emphytéotiques et baux à construction), comme en témoigne l’ordonnance de février 2014 sur le BRI ( bail réel immobilier) destiné au logement intermédiaire ?</w:t>
      </w:r>
    </w:p>
    <w:p w:rsidR="004759C1" w:rsidRPr="000C686A" w:rsidRDefault="004759C1" w:rsidP="000C686A">
      <w:pPr>
        <w:spacing w:before="60"/>
        <w:jc w:val="both"/>
        <w:rPr>
          <w:rFonts w:ascii="Calibri" w:hAnsi="Calibri" w:cs="Calibri"/>
          <w:sz w:val="22"/>
          <w:szCs w:val="22"/>
          <w:lang w:eastAsia="en-US"/>
        </w:rPr>
      </w:pPr>
    </w:p>
    <w:p w:rsidR="004759C1" w:rsidRPr="000C686A"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Et, puisque construire, c’est financer (deux fois: la construction, puis l’acquisition), quelles conséquences auront ces nouveaux modèles économiques sur les équations des financeurs (fonds propres et dette) et les modes de financement de l’immobilier de demain (crowfunding)?</w:t>
      </w:r>
    </w:p>
    <w:p w:rsidR="004759C1" w:rsidRPr="000C686A"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Il apparait qu’un processus de destruction créatrice</w:t>
      </w:r>
      <w:r w:rsidRPr="000C686A">
        <w:rPr>
          <w:rFonts w:ascii="Calibri" w:hAnsi="Calibri" w:cs="Calibri"/>
          <w:sz w:val="22"/>
          <w:szCs w:val="22"/>
          <w:lang w:eastAsia="en-US"/>
        </w:rPr>
        <w:footnoteReference w:id="4"/>
      </w:r>
      <w:r w:rsidRPr="000C686A">
        <w:rPr>
          <w:rFonts w:ascii="Calibri" w:hAnsi="Calibri" w:cs="Calibri"/>
          <w:sz w:val="22"/>
          <w:szCs w:val="22"/>
          <w:lang w:eastAsia="en-US"/>
        </w:rPr>
        <w:t xml:space="preserve"> est en marche et n’épargnera pas les concepts traditionnels de valeur de l’industrie immobilière.  </w:t>
      </w:r>
    </w:p>
    <w:p w:rsidR="004759C1" w:rsidRPr="000C686A" w:rsidRDefault="004759C1" w:rsidP="000C686A">
      <w:pPr>
        <w:spacing w:before="60"/>
        <w:jc w:val="both"/>
        <w:rPr>
          <w:rFonts w:ascii="Calibri" w:hAnsi="Calibri" w:cs="Calibri"/>
          <w:sz w:val="22"/>
          <w:szCs w:val="22"/>
          <w:lang w:eastAsia="en-US"/>
        </w:rPr>
      </w:pPr>
      <w:r w:rsidRPr="000C686A">
        <w:rPr>
          <w:rFonts w:ascii="Calibri" w:hAnsi="Calibri" w:cs="Calibri"/>
          <w:sz w:val="22"/>
          <w:szCs w:val="22"/>
          <w:lang w:eastAsia="en-US"/>
        </w:rPr>
        <w:t xml:space="preserve">En effet : </w:t>
      </w:r>
    </w:p>
    <w:p w:rsidR="004759C1" w:rsidRPr="000C686A" w:rsidRDefault="004759C1" w:rsidP="00396027">
      <w:pPr>
        <w:numPr>
          <w:ilvl w:val="0"/>
          <w:numId w:val="12"/>
        </w:numPr>
        <w:spacing w:before="60"/>
        <w:jc w:val="both"/>
        <w:rPr>
          <w:rFonts w:ascii="Calibri" w:hAnsi="Calibri" w:cs="Calibri"/>
          <w:sz w:val="22"/>
          <w:szCs w:val="22"/>
          <w:lang w:eastAsia="en-US"/>
        </w:rPr>
      </w:pPr>
      <w:r w:rsidRPr="000C686A">
        <w:rPr>
          <w:rFonts w:ascii="Calibri" w:hAnsi="Calibri" w:cs="Calibri"/>
          <w:sz w:val="22"/>
          <w:szCs w:val="22"/>
          <w:lang w:eastAsia="en-US"/>
        </w:rPr>
        <w:t xml:space="preserve">D’une part le développement des plateformes est de nature à accélérer, à travers l’adéquation de l’offre à la demande et par la notation, l’établissement de confiance renouvelée entre les opérateurs et les usagers. </w:t>
      </w:r>
    </w:p>
    <w:p w:rsidR="004759C1" w:rsidRPr="000C686A" w:rsidRDefault="004759C1" w:rsidP="00396027">
      <w:pPr>
        <w:numPr>
          <w:ilvl w:val="0"/>
          <w:numId w:val="12"/>
        </w:numPr>
        <w:spacing w:before="60"/>
        <w:jc w:val="both"/>
        <w:rPr>
          <w:rFonts w:ascii="Calibri" w:hAnsi="Calibri" w:cs="Calibri"/>
          <w:sz w:val="22"/>
          <w:szCs w:val="22"/>
          <w:lang w:eastAsia="en-US"/>
        </w:rPr>
      </w:pPr>
      <w:r w:rsidRPr="000C686A">
        <w:rPr>
          <w:rFonts w:ascii="Calibri" w:hAnsi="Calibri" w:cs="Calibri"/>
          <w:sz w:val="22"/>
          <w:szCs w:val="22"/>
          <w:lang w:eastAsia="en-US"/>
        </w:rPr>
        <w:t>D’autre part le Big Data ouvre la voie à une meilleure connaissance de la demande et à l’émergence d’un marketing du désir « je sais ce que tu attends… »</w:t>
      </w:r>
    </w:p>
    <w:p w:rsidR="004759C1" w:rsidRDefault="004759C1" w:rsidP="00D16F3F">
      <w:pPr>
        <w:spacing w:before="60"/>
        <w:jc w:val="both"/>
        <w:rPr>
          <w:rFonts w:ascii="Calibri" w:hAnsi="Calibri" w:cs="Calibri"/>
          <w:sz w:val="22"/>
          <w:szCs w:val="22"/>
          <w:lang w:eastAsia="en-US"/>
        </w:rPr>
      </w:pPr>
    </w:p>
    <w:p w:rsidR="004759C1" w:rsidRDefault="004759C1" w:rsidP="00D16F3F">
      <w:pPr>
        <w:spacing w:before="60"/>
        <w:jc w:val="both"/>
        <w:rPr>
          <w:rFonts w:ascii="Calibri" w:hAnsi="Calibri" w:cs="Calibri"/>
          <w:sz w:val="22"/>
          <w:szCs w:val="22"/>
          <w:lang w:eastAsia="en-US"/>
        </w:rPr>
      </w:pPr>
    </w:p>
    <w:p w:rsidR="004759C1" w:rsidRDefault="004759C1" w:rsidP="00D16F3F">
      <w:pPr>
        <w:spacing w:before="60"/>
        <w:jc w:val="both"/>
        <w:rPr>
          <w:rFonts w:ascii="Calibri" w:hAnsi="Calibri" w:cs="Calibri"/>
          <w:sz w:val="22"/>
          <w:szCs w:val="22"/>
          <w:lang w:eastAsia="en-US"/>
        </w:rPr>
      </w:pPr>
    </w:p>
    <w:p w:rsidR="004759C1" w:rsidRDefault="004759C1" w:rsidP="00F4057C">
      <w:pPr>
        <w:autoSpaceDE w:val="0"/>
        <w:autoSpaceDN w:val="0"/>
        <w:adjustRightInd w:val="0"/>
        <w:rPr>
          <w:rFonts w:ascii="Calibri" w:hAnsi="Calibri" w:cs="Calibri"/>
          <w:b/>
          <w:bCs/>
          <w:color w:val="000000"/>
          <w:sz w:val="18"/>
          <w:szCs w:val="18"/>
        </w:rPr>
      </w:pPr>
    </w:p>
    <w:p w:rsidR="004759C1" w:rsidRDefault="004759C1" w:rsidP="00F4057C">
      <w:pPr>
        <w:autoSpaceDE w:val="0"/>
        <w:autoSpaceDN w:val="0"/>
        <w:adjustRightInd w:val="0"/>
        <w:rPr>
          <w:rFonts w:ascii="Calibri" w:hAnsi="Calibri" w:cs="Calibri"/>
          <w:b/>
          <w:bCs/>
          <w:color w:val="000000"/>
          <w:sz w:val="18"/>
          <w:szCs w:val="18"/>
        </w:rPr>
      </w:pPr>
    </w:p>
    <w:p w:rsidR="004759C1" w:rsidRDefault="004759C1" w:rsidP="00F4057C">
      <w:pPr>
        <w:autoSpaceDE w:val="0"/>
        <w:autoSpaceDN w:val="0"/>
        <w:adjustRightInd w:val="0"/>
        <w:rPr>
          <w:rFonts w:ascii="Calibri" w:hAnsi="Calibri" w:cs="Calibri"/>
          <w:b/>
          <w:bCs/>
          <w:color w:val="000000"/>
          <w:sz w:val="18"/>
          <w:szCs w:val="18"/>
        </w:rPr>
      </w:pPr>
    </w:p>
    <w:p w:rsidR="004759C1" w:rsidRPr="00F4057C" w:rsidRDefault="004759C1" w:rsidP="00F4057C">
      <w:pPr>
        <w:autoSpaceDE w:val="0"/>
        <w:autoSpaceDN w:val="0"/>
        <w:adjustRightInd w:val="0"/>
        <w:jc w:val="right"/>
        <w:rPr>
          <w:rFonts w:ascii="Calibri" w:hAnsi="Calibri" w:cs="Calibri"/>
          <w:b/>
          <w:bCs/>
          <w:color w:val="000000"/>
          <w:sz w:val="18"/>
          <w:szCs w:val="18"/>
          <w:u w:val="single"/>
        </w:rPr>
      </w:pPr>
      <w:r w:rsidRPr="00F4057C">
        <w:rPr>
          <w:rFonts w:ascii="Calibri" w:hAnsi="Calibri" w:cs="Calibri"/>
          <w:b/>
          <w:bCs/>
          <w:color w:val="000000"/>
          <w:sz w:val="18"/>
          <w:szCs w:val="18"/>
          <w:u w:val="single"/>
        </w:rPr>
        <w:t>Contact PLAN BATIMENT DURABLE</w:t>
      </w:r>
    </w:p>
    <w:p w:rsidR="004759C1" w:rsidRPr="00F4057C" w:rsidRDefault="004759C1" w:rsidP="00F4057C">
      <w:pPr>
        <w:autoSpaceDE w:val="0"/>
        <w:autoSpaceDN w:val="0"/>
        <w:adjustRightInd w:val="0"/>
        <w:jc w:val="right"/>
        <w:rPr>
          <w:rFonts w:ascii="Calibri" w:hAnsi="Calibri" w:cs="Calibri"/>
          <w:color w:val="000000"/>
          <w:sz w:val="18"/>
          <w:szCs w:val="18"/>
        </w:rPr>
      </w:pPr>
      <w:r w:rsidRPr="00F4057C">
        <w:rPr>
          <w:rFonts w:ascii="Calibri" w:hAnsi="Calibri" w:cs="Calibri"/>
          <w:color w:val="000000"/>
          <w:sz w:val="18"/>
          <w:szCs w:val="18"/>
        </w:rPr>
        <w:t>Anne-Lise DELORON ROCARD</w:t>
      </w:r>
    </w:p>
    <w:p w:rsidR="004759C1" w:rsidRPr="00F4057C" w:rsidRDefault="004759C1" w:rsidP="00F4057C">
      <w:pPr>
        <w:autoSpaceDE w:val="0"/>
        <w:autoSpaceDN w:val="0"/>
        <w:adjustRightInd w:val="0"/>
        <w:jc w:val="right"/>
        <w:rPr>
          <w:rFonts w:ascii="Calibri" w:hAnsi="Calibri" w:cs="Calibri"/>
          <w:color w:val="000000"/>
          <w:sz w:val="18"/>
          <w:szCs w:val="18"/>
        </w:rPr>
      </w:pPr>
      <w:r w:rsidRPr="00F4057C">
        <w:rPr>
          <w:rFonts w:ascii="Calibri" w:hAnsi="Calibri" w:cs="Calibri"/>
          <w:color w:val="000000"/>
          <w:sz w:val="18"/>
          <w:szCs w:val="18"/>
        </w:rPr>
        <w:t>01 40 81 33 05 – 06 59 46 99 00</w:t>
      </w:r>
    </w:p>
    <w:p w:rsidR="004759C1" w:rsidRPr="00F4057C" w:rsidRDefault="004759C1" w:rsidP="00F4057C">
      <w:pPr>
        <w:jc w:val="right"/>
        <w:rPr>
          <w:rFonts w:ascii="Calibri" w:hAnsi="Calibri" w:cs="Calibri"/>
          <w:b/>
          <w:bCs/>
          <w:sz w:val="22"/>
          <w:szCs w:val="22"/>
        </w:rPr>
      </w:pPr>
      <w:hyperlink r:id="rId13" w:history="1">
        <w:r w:rsidRPr="00F4057C">
          <w:rPr>
            <w:rStyle w:val="Hyperlink"/>
            <w:rFonts w:ascii="Calibri" w:hAnsi="Calibri" w:cs="Calibri"/>
            <w:sz w:val="18"/>
            <w:szCs w:val="18"/>
          </w:rPr>
          <w:t>anne-lise.deloron@developpement-durable.gouv.fr</w:t>
        </w:r>
      </w:hyperlink>
    </w:p>
    <w:sectPr w:rsidR="004759C1" w:rsidRPr="00F4057C" w:rsidSect="00F4057C">
      <w:type w:val="continuous"/>
      <w:pgSz w:w="11906" w:h="16838"/>
      <w:pgMar w:top="1417"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C1" w:rsidRDefault="004759C1">
      <w:r>
        <w:separator/>
      </w:r>
    </w:p>
  </w:endnote>
  <w:endnote w:type="continuationSeparator" w:id="0">
    <w:p w:rsidR="004759C1" w:rsidRDefault="004759C1">
      <w:r>
        <w:continuationSeparator/>
      </w:r>
    </w:p>
  </w:endnote>
  <w:endnote w:type="continuationNotice" w:id="1">
    <w:p w:rsidR="004759C1" w:rsidRDefault="004759C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C1" w:rsidRDefault="004759C1" w:rsidP="002937E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759C1" w:rsidRDefault="004759C1" w:rsidP="003A7B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C1" w:rsidRDefault="004759C1">
      <w:r>
        <w:separator/>
      </w:r>
    </w:p>
  </w:footnote>
  <w:footnote w:type="continuationSeparator" w:id="0">
    <w:p w:rsidR="004759C1" w:rsidRDefault="004759C1">
      <w:r>
        <w:continuationSeparator/>
      </w:r>
    </w:p>
  </w:footnote>
  <w:footnote w:type="continuationNotice" w:id="1">
    <w:p w:rsidR="004759C1" w:rsidRDefault="004759C1"/>
  </w:footnote>
  <w:footnote w:id="2">
    <w:p w:rsidR="004759C1" w:rsidRDefault="004759C1" w:rsidP="000C686A">
      <w:pPr>
        <w:pStyle w:val="FootnoteText"/>
      </w:pPr>
      <w:r>
        <w:rPr>
          <w:rStyle w:val="FootnoteReference"/>
        </w:rPr>
        <w:footnoteRef/>
      </w:r>
      <w:r>
        <w:t xml:space="preserve"> Territoire à énergie positive</w:t>
      </w:r>
    </w:p>
  </w:footnote>
  <w:footnote w:id="3">
    <w:p w:rsidR="004759C1" w:rsidRDefault="004759C1" w:rsidP="000C686A">
      <w:pPr>
        <w:pStyle w:val="FootnoteText"/>
      </w:pPr>
      <w:r>
        <w:rPr>
          <w:rStyle w:val="FootnoteReference"/>
        </w:rPr>
        <w:footnoteRef/>
      </w:r>
      <w:r>
        <w:t xml:space="preserve"> Building Information Modeling</w:t>
      </w:r>
    </w:p>
  </w:footnote>
  <w:footnote w:id="4">
    <w:p w:rsidR="004759C1" w:rsidRDefault="004759C1" w:rsidP="000C686A">
      <w:pPr>
        <w:pStyle w:val="FootnoteText"/>
      </w:pPr>
      <w:r>
        <w:rPr>
          <w:rStyle w:val="FootnoteReference"/>
        </w:rPr>
        <w:footnoteRef/>
      </w:r>
      <w:r>
        <w:t xml:space="preserve"> Pour reprendre le concept de l’économiste Joseph Schumpeter, particulièrement bien adapté au contexte actuel. Voir J. Schumpeter. </w:t>
      </w:r>
      <w:r w:rsidRPr="0000653A">
        <w:rPr>
          <w:i/>
        </w:rPr>
        <w:t>Capitalisme, socialisme et démocratie</w:t>
      </w:r>
      <w:r>
        <w:rPr>
          <w:i/>
        </w:rPr>
        <w:t xml:space="preserve">. </w:t>
      </w:r>
      <w:r>
        <w:t xml:space="preserve">Payot. 1990 (1942), </w:t>
      </w:r>
      <w:r>
        <w:rPr>
          <w:i/>
        </w:rPr>
        <w:t>C</w:t>
      </w:r>
      <w:r w:rsidRPr="0000653A">
        <w:rPr>
          <w:i/>
        </w:rPr>
        <w:t>hapitre VII, Le processus de destruction créatrice.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C1" w:rsidRPr="001615C5" w:rsidRDefault="004759C1" w:rsidP="00445A6D">
    <w:pPr>
      <w:pStyle w:val="Header"/>
      <w:jc w:val="right"/>
      <w:rPr>
        <w:rFonts w:ascii="Calibri" w:hAnsi="Calibri" w:cs="Calibri"/>
        <w:i/>
        <w:iCs/>
        <w:sz w:val="22"/>
        <w:szCs w:val="22"/>
      </w:rPr>
    </w:pPr>
    <w:r>
      <w:rPr>
        <w:rFonts w:ascii="Calibri" w:hAnsi="Calibri" w:cs="Calibri"/>
        <w:i/>
        <w:iCs/>
        <w:sz w:val="22"/>
        <w:szCs w:val="22"/>
      </w:rPr>
      <w:t>Octobre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930"/>
    <w:multiLevelType w:val="hybridMultilevel"/>
    <w:tmpl w:val="07243E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A870933"/>
    <w:multiLevelType w:val="hybridMultilevel"/>
    <w:tmpl w:val="9A64914E"/>
    <w:lvl w:ilvl="0" w:tplc="685E7A2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6F2A82"/>
    <w:multiLevelType w:val="hybridMultilevel"/>
    <w:tmpl w:val="D3A4EA9E"/>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hint="default"/>
      </w:rPr>
    </w:lvl>
    <w:lvl w:ilvl="8" w:tplc="040C0005">
      <w:start w:val="1"/>
      <w:numFmt w:val="bullet"/>
      <w:lvlText w:val=""/>
      <w:lvlJc w:val="left"/>
      <w:pPr>
        <w:ind w:left="6525" w:hanging="360"/>
      </w:pPr>
      <w:rPr>
        <w:rFonts w:ascii="Wingdings" w:hAnsi="Wingdings" w:hint="default"/>
      </w:rPr>
    </w:lvl>
  </w:abstractNum>
  <w:abstractNum w:abstractNumId="3">
    <w:nsid w:val="275A52C5"/>
    <w:multiLevelType w:val="hybridMultilevel"/>
    <w:tmpl w:val="4A540246"/>
    <w:lvl w:ilvl="0" w:tplc="A39E936E">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3618C3"/>
    <w:multiLevelType w:val="hybridMultilevel"/>
    <w:tmpl w:val="C7105A00"/>
    <w:lvl w:ilvl="0" w:tplc="A39E936E">
      <w:numFmt w:val="bullet"/>
      <w:lvlText w:val="-"/>
      <w:lvlJc w:val="left"/>
      <w:pPr>
        <w:tabs>
          <w:tab w:val="num" w:pos="776"/>
        </w:tabs>
        <w:ind w:left="776" w:hanging="360"/>
      </w:pPr>
      <w:rPr>
        <w:rFonts w:ascii="Calibri" w:eastAsia="Times New Roman" w:hAnsi="Calibri" w:hint="default"/>
      </w:rPr>
    </w:lvl>
    <w:lvl w:ilvl="1" w:tplc="040C0003" w:tentative="1">
      <w:start w:val="1"/>
      <w:numFmt w:val="bullet"/>
      <w:lvlText w:val="o"/>
      <w:lvlJc w:val="left"/>
      <w:pPr>
        <w:tabs>
          <w:tab w:val="num" w:pos="1496"/>
        </w:tabs>
        <w:ind w:left="1496" w:hanging="360"/>
      </w:pPr>
      <w:rPr>
        <w:rFonts w:ascii="Courier New" w:hAnsi="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5">
    <w:nsid w:val="527F232B"/>
    <w:multiLevelType w:val="hybridMultilevel"/>
    <w:tmpl w:val="CEAAD58C"/>
    <w:lvl w:ilvl="0" w:tplc="A39E936E">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6484493"/>
    <w:multiLevelType w:val="hybridMultilevel"/>
    <w:tmpl w:val="72E2A3F8"/>
    <w:lvl w:ilvl="0" w:tplc="031A5EB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634227B1"/>
    <w:multiLevelType w:val="hybridMultilevel"/>
    <w:tmpl w:val="E68073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43041E8"/>
    <w:multiLevelType w:val="hybridMultilevel"/>
    <w:tmpl w:val="17D83464"/>
    <w:lvl w:ilvl="0" w:tplc="A39E936E">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6740313"/>
    <w:multiLevelType w:val="hybridMultilevel"/>
    <w:tmpl w:val="49EEBBB6"/>
    <w:lvl w:ilvl="0" w:tplc="A39E936E">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9091A7E"/>
    <w:multiLevelType w:val="hybridMultilevel"/>
    <w:tmpl w:val="0B7271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7B80431C"/>
    <w:multiLevelType w:val="hybridMultilevel"/>
    <w:tmpl w:val="4C025176"/>
    <w:lvl w:ilvl="0" w:tplc="63947C7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0"/>
  </w:num>
  <w:num w:numId="5">
    <w:abstractNumId w:val="6"/>
  </w:num>
  <w:num w:numId="6">
    <w:abstractNumId w:val="2"/>
  </w:num>
  <w:num w:numId="7">
    <w:abstractNumId w:val="1"/>
  </w:num>
  <w:num w:numId="8">
    <w:abstractNumId w:val="4"/>
  </w:num>
  <w:num w:numId="9">
    <w:abstractNumId w:val="3"/>
  </w:num>
  <w:num w:numId="10">
    <w:abstractNumId w:val="5"/>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CBF"/>
    <w:rsid w:val="00005F5B"/>
    <w:rsid w:val="0000653A"/>
    <w:rsid w:val="000231F9"/>
    <w:rsid w:val="00023E93"/>
    <w:rsid w:val="000813CD"/>
    <w:rsid w:val="0008195A"/>
    <w:rsid w:val="000824B5"/>
    <w:rsid w:val="00085EF7"/>
    <w:rsid w:val="000C17CD"/>
    <w:rsid w:val="000C686A"/>
    <w:rsid w:val="000C6BC5"/>
    <w:rsid w:val="000E0B6A"/>
    <w:rsid w:val="0010788F"/>
    <w:rsid w:val="00121116"/>
    <w:rsid w:val="00135688"/>
    <w:rsid w:val="00136CF7"/>
    <w:rsid w:val="001402DB"/>
    <w:rsid w:val="001615C5"/>
    <w:rsid w:val="001621C7"/>
    <w:rsid w:val="00165FC7"/>
    <w:rsid w:val="001858D3"/>
    <w:rsid w:val="00186DE5"/>
    <w:rsid w:val="001A6120"/>
    <w:rsid w:val="001B3D17"/>
    <w:rsid w:val="001B7E88"/>
    <w:rsid w:val="001C54B9"/>
    <w:rsid w:val="001D1395"/>
    <w:rsid w:val="001F312D"/>
    <w:rsid w:val="001F6057"/>
    <w:rsid w:val="00221836"/>
    <w:rsid w:val="00247795"/>
    <w:rsid w:val="002640E5"/>
    <w:rsid w:val="0027179F"/>
    <w:rsid w:val="00283367"/>
    <w:rsid w:val="00284B9D"/>
    <w:rsid w:val="002937E2"/>
    <w:rsid w:val="002A3BDB"/>
    <w:rsid w:val="002B0CCD"/>
    <w:rsid w:val="002B2B4D"/>
    <w:rsid w:val="002B3DCA"/>
    <w:rsid w:val="002C241E"/>
    <w:rsid w:val="003175FD"/>
    <w:rsid w:val="00317EDC"/>
    <w:rsid w:val="00331800"/>
    <w:rsid w:val="00342CCA"/>
    <w:rsid w:val="00346DDF"/>
    <w:rsid w:val="00366EC4"/>
    <w:rsid w:val="003749DE"/>
    <w:rsid w:val="00385415"/>
    <w:rsid w:val="003941C7"/>
    <w:rsid w:val="00396027"/>
    <w:rsid w:val="003A7B58"/>
    <w:rsid w:val="003A7F88"/>
    <w:rsid w:val="003E22D7"/>
    <w:rsid w:val="003F60EA"/>
    <w:rsid w:val="003F614F"/>
    <w:rsid w:val="003F7D60"/>
    <w:rsid w:val="004014C2"/>
    <w:rsid w:val="00401926"/>
    <w:rsid w:val="0041175C"/>
    <w:rsid w:val="00417677"/>
    <w:rsid w:val="004254D9"/>
    <w:rsid w:val="00445A6D"/>
    <w:rsid w:val="004759C1"/>
    <w:rsid w:val="004837D0"/>
    <w:rsid w:val="004878B4"/>
    <w:rsid w:val="00490B0B"/>
    <w:rsid w:val="004B5829"/>
    <w:rsid w:val="004B61AB"/>
    <w:rsid w:val="004C46A1"/>
    <w:rsid w:val="004E670B"/>
    <w:rsid w:val="00516D79"/>
    <w:rsid w:val="00547E5C"/>
    <w:rsid w:val="00551B19"/>
    <w:rsid w:val="00561202"/>
    <w:rsid w:val="00566746"/>
    <w:rsid w:val="0058610E"/>
    <w:rsid w:val="005A4866"/>
    <w:rsid w:val="005A6575"/>
    <w:rsid w:val="005A742C"/>
    <w:rsid w:val="005B350A"/>
    <w:rsid w:val="00620266"/>
    <w:rsid w:val="00621C15"/>
    <w:rsid w:val="00634607"/>
    <w:rsid w:val="00636062"/>
    <w:rsid w:val="00641CBF"/>
    <w:rsid w:val="00645325"/>
    <w:rsid w:val="006464DC"/>
    <w:rsid w:val="006522B6"/>
    <w:rsid w:val="00662B8B"/>
    <w:rsid w:val="00672D50"/>
    <w:rsid w:val="006759F1"/>
    <w:rsid w:val="0067792F"/>
    <w:rsid w:val="00690D4E"/>
    <w:rsid w:val="00694B2D"/>
    <w:rsid w:val="006A391B"/>
    <w:rsid w:val="006A6167"/>
    <w:rsid w:val="006C0E58"/>
    <w:rsid w:val="006E5886"/>
    <w:rsid w:val="006F5852"/>
    <w:rsid w:val="0074573B"/>
    <w:rsid w:val="00752D70"/>
    <w:rsid w:val="00766ECC"/>
    <w:rsid w:val="007672CC"/>
    <w:rsid w:val="007678EA"/>
    <w:rsid w:val="007749EA"/>
    <w:rsid w:val="007758CF"/>
    <w:rsid w:val="0078080B"/>
    <w:rsid w:val="0078181D"/>
    <w:rsid w:val="00795B18"/>
    <w:rsid w:val="007A183C"/>
    <w:rsid w:val="007D0341"/>
    <w:rsid w:val="007D48FA"/>
    <w:rsid w:val="007E3FC4"/>
    <w:rsid w:val="00817381"/>
    <w:rsid w:val="0083087C"/>
    <w:rsid w:val="0083299D"/>
    <w:rsid w:val="00836E93"/>
    <w:rsid w:val="00840A37"/>
    <w:rsid w:val="00843341"/>
    <w:rsid w:val="00864BEC"/>
    <w:rsid w:val="008650B6"/>
    <w:rsid w:val="00865E24"/>
    <w:rsid w:val="00875F77"/>
    <w:rsid w:val="00890B7D"/>
    <w:rsid w:val="00896414"/>
    <w:rsid w:val="00896753"/>
    <w:rsid w:val="00896B5A"/>
    <w:rsid w:val="008A16CF"/>
    <w:rsid w:val="008B064A"/>
    <w:rsid w:val="008B6960"/>
    <w:rsid w:val="008E01BF"/>
    <w:rsid w:val="008E3DE9"/>
    <w:rsid w:val="00926B3E"/>
    <w:rsid w:val="00931D0A"/>
    <w:rsid w:val="00932611"/>
    <w:rsid w:val="00952209"/>
    <w:rsid w:val="00955E36"/>
    <w:rsid w:val="0098282D"/>
    <w:rsid w:val="009879EB"/>
    <w:rsid w:val="009B5AC8"/>
    <w:rsid w:val="009B7A36"/>
    <w:rsid w:val="009D439F"/>
    <w:rsid w:val="00A00CD9"/>
    <w:rsid w:val="00A1618C"/>
    <w:rsid w:val="00A21C49"/>
    <w:rsid w:val="00A35EE7"/>
    <w:rsid w:val="00A36238"/>
    <w:rsid w:val="00A50FD6"/>
    <w:rsid w:val="00A52B29"/>
    <w:rsid w:val="00A535D3"/>
    <w:rsid w:val="00A83412"/>
    <w:rsid w:val="00A937FD"/>
    <w:rsid w:val="00AC0B4E"/>
    <w:rsid w:val="00AD687C"/>
    <w:rsid w:val="00AE5919"/>
    <w:rsid w:val="00AE6337"/>
    <w:rsid w:val="00B06808"/>
    <w:rsid w:val="00B21F48"/>
    <w:rsid w:val="00B715C6"/>
    <w:rsid w:val="00B778D1"/>
    <w:rsid w:val="00B94420"/>
    <w:rsid w:val="00BB3001"/>
    <w:rsid w:val="00BC0C4C"/>
    <w:rsid w:val="00BE542D"/>
    <w:rsid w:val="00BF6DF9"/>
    <w:rsid w:val="00C11404"/>
    <w:rsid w:val="00C13C1F"/>
    <w:rsid w:val="00C160E2"/>
    <w:rsid w:val="00C27548"/>
    <w:rsid w:val="00C276DB"/>
    <w:rsid w:val="00C347FE"/>
    <w:rsid w:val="00C40806"/>
    <w:rsid w:val="00C42EA6"/>
    <w:rsid w:val="00C65767"/>
    <w:rsid w:val="00CA00B2"/>
    <w:rsid w:val="00CD0927"/>
    <w:rsid w:val="00CD2AAC"/>
    <w:rsid w:val="00CD524E"/>
    <w:rsid w:val="00CE037F"/>
    <w:rsid w:val="00CF2C77"/>
    <w:rsid w:val="00CF5515"/>
    <w:rsid w:val="00D01941"/>
    <w:rsid w:val="00D16F3F"/>
    <w:rsid w:val="00D17176"/>
    <w:rsid w:val="00D1787E"/>
    <w:rsid w:val="00D31498"/>
    <w:rsid w:val="00D66C7D"/>
    <w:rsid w:val="00D72D19"/>
    <w:rsid w:val="00D753D1"/>
    <w:rsid w:val="00D81748"/>
    <w:rsid w:val="00D92F10"/>
    <w:rsid w:val="00D97641"/>
    <w:rsid w:val="00DA7D8B"/>
    <w:rsid w:val="00DB3DF9"/>
    <w:rsid w:val="00DC7278"/>
    <w:rsid w:val="00DF7065"/>
    <w:rsid w:val="00E204E9"/>
    <w:rsid w:val="00E37C3A"/>
    <w:rsid w:val="00E404E7"/>
    <w:rsid w:val="00E41680"/>
    <w:rsid w:val="00E57C04"/>
    <w:rsid w:val="00E65E50"/>
    <w:rsid w:val="00E6660B"/>
    <w:rsid w:val="00E811E4"/>
    <w:rsid w:val="00E91CDA"/>
    <w:rsid w:val="00EA0E1C"/>
    <w:rsid w:val="00EA300A"/>
    <w:rsid w:val="00EB0687"/>
    <w:rsid w:val="00EB477B"/>
    <w:rsid w:val="00EB5AEA"/>
    <w:rsid w:val="00EC2719"/>
    <w:rsid w:val="00ED48C9"/>
    <w:rsid w:val="00EE0031"/>
    <w:rsid w:val="00EF32AB"/>
    <w:rsid w:val="00F006E8"/>
    <w:rsid w:val="00F22049"/>
    <w:rsid w:val="00F2735C"/>
    <w:rsid w:val="00F31C4C"/>
    <w:rsid w:val="00F4057C"/>
    <w:rsid w:val="00F4084C"/>
    <w:rsid w:val="00F46E5E"/>
    <w:rsid w:val="00F52254"/>
    <w:rsid w:val="00F80210"/>
    <w:rsid w:val="00F864BF"/>
    <w:rsid w:val="00FA68F3"/>
    <w:rsid w:val="00FB1ADC"/>
    <w:rsid w:val="00FD7178"/>
    <w:rsid w:val="00FF2560"/>
    <w:rsid w:val="00FF2F2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2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F614F"/>
    <w:rPr>
      <w:sz w:val="20"/>
      <w:szCs w:val="20"/>
    </w:rPr>
  </w:style>
  <w:style w:type="character" w:customStyle="1" w:styleId="FootnoteTextChar">
    <w:name w:val="Footnote Text Char"/>
    <w:basedOn w:val="DefaultParagraphFont"/>
    <w:link w:val="FootnoteText"/>
    <w:uiPriority w:val="99"/>
    <w:semiHidden/>
    <w:locked/>
    <w:rsid w:val="00136CF7"/>
    <w:rPr>
      <w:rFonts w:cs="Times New Roman"/>
      <w:sz w:val="20"/>
      <w:szCs w:val="20"/>
    </w:rPr>
  </w:style>
  <w:style w:type="character" w:styleId="Hyperlink">
    <w:name w:val="Hyperlink"/>
    <w:basedOn w:val="DefaultParagraphFont"/>
    <w:uiPriority w:val="99"/>
    <w:rsid w:val="003F614F"/>
    <w:rPr>
      <w:rFonts w:cs="Times New Roman"/>
      <w:color w:val="0000FF"/>
      <w:u w:val="single"/>
    </w:rPr>
  </w:style>
  <w:style w:type="character" w:styleId="FootnoteReference">
    <w:name w:val="footnote reference"/>
    <w:basedOn w:val="DefaultParagraphFont"/>
    <w:uiPriority w:val="99"/>
    <w:semiHidden/>
    <w:rsid w:val="003F614F"/>
    <w:rPr>
      <w:rFonts w:cs="Times New Roman"/>
      <w:vertAlign w:val="superscript"/>
    </w:rPr>
  </w:style>
  <w:style w:type="paragraph" w:styleId="Footer">
    <w:name w:val="footer"/>
    <w:basedOn w:val="Normal"/>
    <w:link w:val="FooterChar"/>
    <w:uiPriority w:val="99"/>
    <w:rsid w:val="003A7B58"/>
    <w:pPr>
      <w:tabs>
        <w:tab w:val="center" w:pos="4536"/>
        <w:tab w:val="right" w:pos="9072"/>
      </w:tabs>
    </w:pPr>
  </w:style>
  <w:style w:type="character" w:customStyle="1" w:styleId="FooterChar">
    <w:name w:val="Footer Char"/>
    <w:basedOn w:val="DefaultParagraphFont"/>
    <w:link w:val="Footer"/>
    <w:uiPriority w:val="99"/>
    <w:semiHidden/>
    <w:locked/>
    <w:rsid w:val="00136CF7"/>
    <w:rPr>
      <w:rFonts w:cs="Times New Roman"/>
      <w:sz w:val="24"/>
      <w:szCs w:val="24"/>
    </w:rPr>
  </w:style>
  <w:style w:type="character" w:styleId="PageNumber">
    <w:name w:val="page number"/>
    <w:basedOn w:val="DefaultParagraphFont"/>
    <w:uiPriority w:val="99"/>
    <w:rsid w:val="003A7B58"/>
    <w:rPr>
      <w:rFonts w:cs="Times New Roman"/>
    </w:rPr>
  </w:style>
  <w:style w:type="paragraph" w:styleId="Header">
    <w:name w:val="header"/>
    <w:basedOn w:val="Normal"/>
    <w:link w:val="HeaderChar"/>
    <w:uiPriority w:val="99"/>
    <w:rsid w:val="001615C5"/>
    <w:pPr>
      <w:tabs>
        <w:tab w:val="center" w:pos="4536"/>
        <w:tab w:val="right" w:pos="9072"/>
      </w:tabs>
    </w:pPr>
  </w:style>
  <w:style w:type="character" w:customStyle="1" w:styleId="HeaderChar">
    <w:name w:val="Header Char"/>
    <w:basedOn w:val="DefaultParagraphFont"/>
    <w:link w:val="Header"/>
    <w:uiPriority w:val="99"/>
    <w:semiHidden/>
    <w:locked/>
    <w:rsid w:val="00136CF7"/>
    <w:rPr>
      <w:rFonts w:cs="Times New Roman"/>
      <w:sz w:val="24"/>
      <w:szCs w:val="24"/>
    </w:rPr>
  </w:style>
  <w:style w:type="character" w:styleId="FollowedHyperlink">
    <w:name w:val="FollowedHyperlink"/>
    <w:basedOn w:val="DefaultParagraphFont"/>
    <w:uiPriority w:val="99"/>
    <w:rsid w:val="00C40806"/>
    <w:rPr>
      <w:rFonts w:cs="Times New Roman"/>
      <w:color w:val="800080"/>
      <w:u w:val="single"/>
    </w:rPr>
  </w:style>
  <w:style w:type="paragraph" w:styleId="BalloonText">
    <w:name w:val="Balloon Text"/>
    <w:basedOn w:val="Normal"/>
    <w:link w:val="BalloonTextChar"/>
    <w:uiPriority w:val="99"/>
    <w:semiHidden/>
    <w:rsid w:val="00317EDC"/>
    <w:rPr>
      <w:rFonts w:ascii="Tahoma" w:hAnsi="Tahoma" w:cs="Tahoma"/>
      <w:sz w:val="16"/>
      <w:szCs w:val="16"/>
      <w:lang w:eastAsia="ja-JP"/>
    </w:rPr>
  </w:style>
  <w:style w:type="character" w:customStyle="1" w:styleId="BalloonTextChar">
    <w:name w:val="Balloon Text Char"/>
    <w:basedOn w:val="DefaultParagraphFont"/>
    <w:link w:val="BalloonText"/>
    <w:uiPriority w:val="99"/>
    <w:locked/>
    <w:rsid w:val="00317EDC"/>
    <w:rPr>
      <w:rFonts w:ascii="Tahoma" w:hAnsi="Tahoma" w:cs="Tahoma"/>
      <w:sz w:val="16"/>
      <w:szCs w:val="16"/>
    </w:rPr>
  </w:style>
  <w:style w:type="character" w:styleId="CommentReference">
    <w:name w:val="annotation reference"/>
    <w:basedOn w:val="DefaultParagraphFont"/>
    <w:uiPriority w:val="99"/>
    <w:semiHidden/>
    <w:rsid w:val="001A6120"/>
    <w:rPr>
      <w:rFonts w:cs="Times New Roman"/>
      <w:sz w:val="16"/>
      <w:szCs w:val="16"/>
    </w:rPr>
  </w:style>
  <w:style w:type="paragraph" w:styleId="CommentText">
    <w:name w:val="annotation text"/>
    <w:basedOn w:val="Normal"/>
    <w:link w:val="CommentTextChar"/>
    <w:uiPriority w:val="99"/>
    <w:semiHidden/>
    <w:rsid w:val="001A6120"/>
    <w:rPr>
      <w:sz w:val="20"/>
      <w:szCs w:val="20"/>
    </w:rPr>
  </w:style>
  <w:style w:type="character" w:customStyle="1" w:styleId="CommentTextChar">
    <w:name w:val="Comment Text Char"/>
    <w:basedOn w:val="DefaultParagraphFont"/>
    <w:link w:val="CommentText"/>
    <w:uiPriority w:val="99"/>
    <w:locked/>
    <w:rsid w:val="001A6120"/>
    <w:rPr>
      <w:rFonts w:cs="Times New Roman"/>
    </w:rPr>
  </w:style>
  <w:style w:type="paragraph" w:styleId="Revision">
    <w:name w:val="Revision"/>
    <w:hidden/>
    <w:uiPriority w:val="99"/>
    <w:semiHidden/>
    <w:rsid w:val="00690D4E"/>
    <w:rPr>
      <w:sz w:val="24"/>
      <w:szCs w:val="24"/>
    </w:rPr>
  </w:style>
  <w:style w:type="table" w:styleId="TableGrid">
    <w:name w:val="Table Grid"/>
    <w:basedOn w:val="TableNormal"/>
    <w:uiPriority w:val="99"/>
    <w:rsid w:val="00BC0C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932611"/>
    <w:rPr>
      <w:b/>
      <w:bCs/>
    </w:rPr>
  </w:style>
  <w:style w:type="character" w:customStyle="1" w:styleId="CommentSubjectChar">
    <w:name w:val="Comment Subject Char"/>
    <w:basedOn w:val="CommentTextChar"/>
    <w:link w:val="CommentSubject"/>
    <w:uiPriority w:val="99"/>
    <w:locked/>
    <w:rsid w:val="00932611"/>
    <w:rPr>
      <w:b/>
      <w:bCs/>
    </w:rPr>
  </w:style>
  <w:style w:type="paragraph" w:styleId="ListParagraph">
    <w:name w:val="List Paragraph"/>
    <w:basedOn w:val="Normal"/>
    <w:uiPriority w:val="99"/>
    <w:qFormat/>
    <w:rsid w:val="00A52B29"/>
    <w:pPr>
      <w:ind w:left="720"/>
    </w:pPr>
  </w:style>
</w:styles>
</file>

<file path=word/webSettings.xml><?xml version="1.0" encoding="utf-8"?>
<w:webSettings xmlns:r="http://schemas.openxmlformats.org/officeDocument/2006/relationships" xmlns:w="http://schemas.openxmlformats.org/wordprocessingml/2006/main">
  <w:divs>
    <w:div w:id="27924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br20202050.wordpress.com/" TargetMode="External"/><Relationship Id="rId13" Type="http://schemas.openxmlformats.org/officeDocument/2006/relationships/hyperlink" Target="mailto:anne-lise.deloron@developpement-durable.gouv.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br2020205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5</Pages>
  <Words>1483</Words>
  <Characters>8157</Characters>
  <Application>Microsoft Office Outlook</Application>
  <DocSecurity>0</DocSecurity>
  <Lines>0</Lines>
  <Paragraphs>0</Paragraphs>
  <ScaleCrop>false</ScaleCrop>
  <Company>CSTB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BATIMENT DURABLE</dc:title>
  <dc:subject/>
  <dc:creator>MEDDE</dc:creator>
  <cp:keywords/>
  <dc:description/>
  <cp:lastModifiedBy>MEDDE</cp:lastModifiedBy>
  <cp:revision>7</cp:revision>
  <cp:lastPrinted>2015-07-09T16:06:00Z</cp:lastPrinted>
  <dcterms:created xsi:type="dcterms:W3CDTF">2015-07-17T10:57:00Z</dcterms:created>
  <dcterms:modified xsi:type="dcterms:W3CDTF">2015-10-27T15:22:00Z</dcterms:modified>
</cp:coreProperties>
</file>