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99" w:rsidRDefault="00C80399" w:rsidP="00C80399">
      <w:pPr>
        <w:pStyle w:val="Default"/>
        <w:ind w:right="62"/>
        <w:rPr>
          <w:sz w:val="32"/>
          <w:szCs w:val="32"/>
        </w:rPr>
      </w:pPr>
      <w:r>
        <w:rPr>
          <w:sz w:val="32"/>
          <w:szCs w:val="32"/>
        </w:rPr>
        <w:t>Démarche environnementale</w:t>
      </w:r>
      <w:r w:rsidR="00413395">
        <w:rPr>
          <w:sz w:val="32"/>
          <w:szCs w:val="32"/>
        </w:rPr>
        <w:t xml:space="preserve"> sur le nouveau bâtiment du site Horizon</w:t>
      </w:r>
    </w:p>
    <w:p w:rsidR="00C80399" w:rsidRDefault="00C80399" w:rsidP="00C80399">
      <w:pPr>
        <w:pStyle w:val="Default"/>
        <w:ind w:right="62"/>
        <w:rPr>
          <w:sz w:val="32"/>
          <w:szCs w:val="32"/>
        </w:rPr>
      </w:pPr>
    </w:p>
    <w:p w:rsidR="00C80399" w:rsidRDefault="00C80399" w:rsidP="00C80399">
      <w:pPr>
        <w:pStyle w:val="Default"/>
        <w:ind w:right="62"/>
        <w:rPr>
          <w:sz w:val="22"/>
          <w:szCs w:val="22"/>
        </w:rPr>
      </w:pPr>
      <w:r>
        <w:rPr>
          <w:sz w:val="22"/>
          <w:szCs w:val="22"/>
        </w:rPr>
        <w:t>Le projet s’inscrit dans le cadre d’une certification environnementale sous le label HPE – QA (Haute Performance Energétique et Qualités Associées) délivré par l’organisme certificateur CERTIVEA.</w:t>
      </w:r>
    </w:p>
    <w:p w:rsidR="00C80399" w:rsidRDefault="00C80399" w:rsidP="00C80399">
      <w:pPr>
        <w:pStyle w:val="Default"/>
        <w:ind w:right="62"/>
        <w:rPr>
          <w:sz w:val="22"/>
          <w:szCs w:val="22"/>
        </w:rPr>
      </w:pPr>
    </w:p>
    <w:p w:rsidR="00C80399" w:rsidRDefault="00C80399" w:rsidP="00C80399">
      <w:pPr>
        <w:pStyle w:val="Default"/>
        <w:ind w:right="62"/>
        <w:rPr>
          <w:sz w:val="22"/>
          <w:szCs w:val="22"/>
        </w:rPr>
      </w:pPr>
      <w:r>
        <w:rPr>
          <w:sz w:val="22"/>
          <w:szCs w:val="22"/>
        </w:rPr>
        <w:t>Le référentiel de performance associé à ce label prend en compte :</w:t>
      </w:r>
    </w:p>
    <w:p w:rsidR="00C80399" w:rsidRDefault="00C80399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Un niveau de consommation énergétique final c’est le niveau dit BBC EFFINERGIE (Bâtiment Basse Consommation)</w:t>
      </w:r>
      <w:r w:rsidR="00AA0CF0">
        <w:rPr>
          <w:sz w:val="22"/>
          <w:szCs w:val="22"/>
        </w:rPr>
        <w:t>.</w:t>
      </w:r>
    </w:p>
    <w:p w:rsidR="00C80399" w:rsidRDefault="00C80399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 xml:space="preserve">Mais également les qualités </w:t>
      </w:r>
      <w:r w:rsidR="00AA0CF0">
        <w:rPr>
          <w:sz w:val="22"/>
          <w:szCs w:val="22"/>
        </w:rPr>
        <w:t>associées</w:t>
      </w:r>
      <w:r>
        <w:rPr>
          <w:sz w:val="22"/>
          <w:szCs w:val="22"/>
        </w:rPr>
        <w:t xml:space="preserve"> classées par cibles qui sont les critères </w:t>
      </w:r>
      <w:r w:rsidR="00AA0CF0">
        <w:rPr>
          <w:sz w:val="22"/>
          <w:szCs w:val="22"/>
        </w:rPr>
        <w:t>de confort pour les utilisateurs de bâtiment.</w:t>
      </w:r>
    </w:p>
    <w:p w:rsidR="00AA0CF0" w:rsidRDefault="00AA0CF0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Ambiance thermique (QA1) : Garantie la maîtrise du confort thermique au travers de la conception du projet et des outils de gestion mis en place.</w:t>
      </w:r>
    </w:p>
    <w:p w:rsidR="00AA0CF0" w:rsidRDefault="00AA0CF0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Qualité de l’air (QA2)</w:t>
      </w:r>
    </w:p>
    <w:p w:rsidR="00AA0CF0" w:rsidRDefault="00AA0CF0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Ambiance acoustique (QA3)</w:t>
      </w:r>
    </w:p>
    <w:p w:rsidR="00AA0CF0" w:rsidRDefault="00AA0CF0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Ambiance visuelle (QA4)</w:t>
      </w:r>
    </w:p>
    <w:p w:rsidR="00AA0CF0" w:rsidRDefault="00AA0CF0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Efficacité des moyens facilitant l’exploitation et la maintenance (QA5)</w:t>
      </w:r>
    </w:p>
    <w:p w:rsidR="00AA0CF0" w:rsidRDefault="00AA0CF0" w:rsidP="00AA0CF0">
      <w:pPr>
        <w:pStyle w:val="Default"/>
        <w:numPr>
          <w:ilvl w:val="0"/>
          <w:numId w:val="10"/>
        </w:numPr>
        <w:ind w:right="62"/>
        <w:rPr>
          <w:sz w:val="22"/>
          <w:szCs w:val="22"/>
        </w:rPr>
      </w:pPr>
      <w:r>
        <w:rPr>
          <w:sz w:val="22"/>
          <w:szCs w:val="22"/>
        </w:rPr>
        <w:t>La qualité de la construction (QA6)</w:t>
      </w:r>
    </w:p>
    <w:p w:rsidR="00AA0CF0" w:rsidRDefault="00AA0CF0" w:rsidP="00AA0CF0">
      <w:pPr>
        <w:pStyle w:val="Default"/>
        <w:ind w:right="62"/>
        <w:rPr>
          <w:sz w:val="22"/>
          <w:szCs w:val="22"/>
        </w:rPr>
      </w:pPr>
    </w:p>
    <w:p w:rsidR="00AA0CF0" w:rsidRDefault="00AA0CF0" w:rsidP="00AA0CF0">
      <w:pPr>
        <w:pStyle w:val="Default"/>
        <w:ind w:right="62"/>
        <w:rPr>
          <w:sz w:val="22"/>
          <w:szCs w:val="22"/>
        </w:rPr>
      </w:pPr>
      <w:r>
        <w:rPr>
          <w:sz w:val="22"/>
          <w:szCs w:val="22"/>
        </w:rPr>
        <w:t xml:space="preserve">L’ensemble étant un projet en avance sur son temps, très au-delà des futures exigences de la nouvelle exigence RT 2012 et des </w:t>
      </w:r>
      <w:r w:rsidR="00E13491">
        <w:rPr>
          <w:sz w:val="22"/>
          <w:szCs w:val="22"/>
        </w:rPr>
        <w:t>standards</w:t>
      </w:r>
      <w:r>
        <w:rPr>
          <w:sz w:val="22"/>
          <w:szCs w:val="22"/>
        </w:rPr>
        <w:t xml:space="preserve"> de confort actuels.</w:t>
      </w:r>
    </w:p>
    <w:p w:rsidR="00AA0CF0" w:rsidRDefault="00AA0CF0" w:rsidP="00AA0CF0">
      <w:pPr>
        <w:pStyle w:val="Default"/>
        <w:ind w:right="62"/>
        <w:rPr>
          <w:sz w:val="22"/>
          <w:szCs w:val="22"/>
        </w:rPr>
      </w:pPr>
    </w:p>
    <w:p w:rsidR="00AA0CF0" w:rsidRDefault="00AA0CF0" w:rsidP="00AA0CF0">
      <w:pPr>
        <w:pStyle w:val="Default"/>
        <w:ind w:right="62"/>
        <w:rPr>
          <w:sz w:val="22"/>
          <w:szCs w:val="22"/>
        </w:rPr>
      </w:pPr>
      <w:r>
        <w:rPr>
          <w:sz w:val="22"/>
          <w:szCs w:val="22"/>
        </w:rPr>
        <w:t>En effet le projet met en</w:t>
      </w:r>
      <w:r w:rsidR="00B65D0C">
        <w:rPr>
          <w:sz w:val="22"/>
          <w:szCs w:val="22"/>
        </w:rPr>
        <w:t xml:space="preserve"> </w:t>
      </w:r>
      <w:r w:rsidR="00DE7776">
        <w:rPr>
          <w:sz w:val="22"/>
          <w:szCs w:val="22"/>
        </w:rPr>
        <w:t xml:space="preserve">œuvre une gestion et un contrôle </w:t>
      </w:r>
      <w:r>
        <w:rPr>
          <w:sz w:val="22"/>
          <w:szCs w:val="22"/>
        </w:rPr>
        <w:t xml:space="preserve">général très fin de l’énergie tout en </w:t>
      </w:r>
      <w:r w:rsidR="00E13491">
        <w:rPr>
          <w:sz w:val="22"/>
          <w:szCs w:val="22"/>
        </w:rPr>
        <w:t>personnalisant</w:t>
      </w:r>
      <w:r>
        <w:rPr>
          <w:sz w:val="22"/>
          <w:szCs w:val="22"/>
        </w:rPr>
        <w:t xml:space="preserve"> les conditions d’utilisations des différentes zones (50 m²) en fonction des </w:t>
      </w:r>
      <w:r w:rsidR="00E13491">
        <w:rPr>
          <w:sz w:val="22"/>
          <w:szCs w:val="22"/>
        </w:rPr>
        <w:t>souhaits</w:t>
      </w:r>
      <w:r>
        <w:rPr>
          <w:sz w:val="22"/>
          <w:szCs w:val="22"/>
        </w:rPr>
        <w:t xml:space="preserve"> des utilisateurs.</w:t>
      </w:r>
    </w:p>
    <w:p w:rsidR="00AA0CF0" w:rsidRDefault="00AA0CF0" w:rsidP="00AA0CF0">
      <w:pPr>
        <w:pStyle w:val="Default"/>
        <w:ind w:right="62"/>
        <w:rPr>
          <w:sz w:val="22"/>
          <w:szCs w:val="22"/>
        </w:rPr>
      </w:pPr>
    </w:p>
    <w:p w:rsidR="00E13491" w:rsidRDefault="00E13491" w:rsidP="00AA0CF0">
      <w:pPr>
        <w:pStyle w:val="Default"/>
        <w:ind w:right="62"/>
        <w:rPr>
          <w:sz w:val="22"/>
          <w:szCs w:val="22"/>
        </w:rPr>
      </w:pPr>
      <w:r>
        <w:rPr>
          <w:sz w:val="22"/>
          <w:szCs w:val="22"/>
        </w:rPr>
        <w:t>Enfin, avec la production photovoltaïque le bâtiment est pratiquement d’énergie positive.</w:t>
      </w:r>
    </w:p>
    <w:p w:rsidR="00E13491" w:rsidRDefault="00E13491" w:rsidP="00AA0CF0">
      <w:pPr>
        <w:pStyle w:val="Default"/>
        <w:ind w:right="62"/>
        <w:rPr>
          <w:sz w:val="22"/>
          <w:szCs w:val="22"/>
        </w:rPr>
      </w:pPr>
    </w:p>
    <w:p w:rsidR="00AA0CF0" w:rsidRPr="00C80399" w:rsidRDefault="00AA0CF0" w:rsidP="00C80399">
      <w:pPr>
        <w:pStyle w:val="Default"/>
        <w:ind w:right="62"/>
        <w:rPr>
          <w:sz w:val="22"/>
          <w:szCs w:val="22"/>
        </w:rPr>
      </w:pPr>
    </w:p>
    <w:p w:rsidR="00E13491" w:rsidRDefault="00E13491">
      <w:pPr>
        <w:pStyle w:val="Default"/>
        <w:jc w:val="center"/>
      </w:pPr>
      <w:r>
        <w:rPr>
          <w:sz w:val="18"/>
          <w:szCs w:val="18"/>
        </w:rPr>
        <w:t xml:space="preserve"> </w:t>
      </w:r>
    </w:p>
    <w:sectPr w:rsidR="00E13491" w:rsidSect="00961D27">
      <w:pgSz w:w="11907" w:h="16839" w:code="9"/>
      <w:pgMar w:top="744" w:right="980" w:bottom="851" w:left="107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013"/>
    <w:multiLevelType w:val="hybridMultilevel"/>
    <w:tmpl w:val="D6DA104C"/>
    <w:lvl w:ilvl="0" w:tplc="33AA4A1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356D"/>
    <w:multiLevelType w:val="hybridMultilevel"/>
    <w:tmpl w:val="048CEBA4"/>
    <w:lvl w:ilvl="0" w:tplc="B19EA7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A5342"/>
    <w:multiLevelType w:val="hybridMultilevel"/>
    <w:tmpl w:val="8B001ED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F61271"/>
    <w:multiLevelType w:val="hybridMultilevel"/>
    <w:tmpl w:val="1A3AA9F4"/>
    <w:lvl w:ilvl="0" w:tplc="729C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524092"/>
    <w:multiLevelType w:val="hybridMultilevel"/>
    <w:tmpl w:val="CDAA66AA"/>
    <w:lvl w:ilvl="0" w:tplc="8FB470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B286D"/>
    <w:multiLevelType w:val="hybridMultilevel"/>
    <w:tmpl w:val="4DE00F30"/>
    <w:lvl w:ilvl="0" w:tplc="8BCC9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5627F"/>
    <w:multiLevelType w:val="hybridMultilevel"/>
    <w:tmpl w:val="39FCFB8E"/>
    <w:lvl w:ilvl="0" w:tplc="63D425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2A18C4"/>
    <w:multiLevelType w:val="hybridMultilevel"/>
    <w:tmpl w:val="F8CA0F9C"/>
    <w:lvl w:ilvl="0" w:tplc="75BAEA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8D0D47"/>
    <w:multiLevelType w:val="hybridMultilevel"/>
    <w:tmpl w:val="6E52B062"/>
    <w:lvl w:ilvl="0" w:tplc="5B18316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41C3C"/>
    <w:multiLevelType w:val="hybridMultilevel"/>
    <w:tmpl w:val="E376E532"/>
    <w:lvl w:ilvl="0" w:tplc="70BA25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626C"/>
    <w:rsid w:val="00016602"/>
    <w:rsid w:val="002209CE"/>
    <w:rsid w:val="00242034"/>
    <w:rsid w:val="00413395"/>
    <w:rsid w:val="00445CB8"/>
    <w:rsid w:val="004801E4"/>
    <w:rsid w:val="004F797C"/>
    <w:rsid w:val="00961D27"/>
    <w:rsid w:val="00AA0CF0"/>
    <w:rsid w:val="00AE626C"/>
    <w:rsid w:val="00B65D0C"/>
    <w:rsid w:val="00BC510D"/>
    <w:rsid w:val="00BF41CF"/>
    <w:rsid w:val="00C51536"/>
    <w:rsid w:val="00C80399"/>
    <w:rsid w:val="00D050B3"/>
    <w:rsid w:val="00DE7776"/>
    <w:rsid w:val="00E1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050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50B3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D050B3"/>
    <w:rPr>
      <w:color w:val="auto"/>
    </w:rPr>
  </w:style>
  <w:style w:type="paragraph" w:customStyle="1" w:styleId="CM3">
    <w:name w:val="CM3"/>
    <w:basedOn w:val="Default"/>
    <w:next w:val="Default"/>
    <w:uiPriority w:val="99"/>
    <w:rsid w:val="00D050B3"/>
    <w:rPr>
      <w:color w:val="auto"/>
    </w:rPr>
  </w:style>
  <w:style w:type="paragraph" w:styleId="Paragraphedeliste">
    <w:name w:val="List Paragraph"/>
    <w:basedOn w:val="Normal"/>
    <w:uiPriority w:val="34"/>
    <w:qFormat/>
    <w:rsid w:val="004F797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Grands Prix SIMI 2011 17 03</vt:lpstr>
    </vt:vector>
  </TitlesOfParts>
  <Company>GSEGROUP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Grands Prix SIMI 2011 17 03</dc:title>
  <dc:subject/>
  <dc:creator>Vleroi</dc:creator>
  <cp:keywords/>
  <dc:description/>
  <cp:lastModifiedBy>SESA80424</cp:lastModifiedBy>
  <cp:revision>3</cp:revision>
  <cp:lastPrinted>2011-09-19T13:41:00Z</cp:lastPrinted>
  <dcterms:created xsi:type="dcterms:W3CDTF">2013-02-20T09:26:00Z</dcterms:created>
  <dcterms:modified xsi:type="dcterms:W3CDTF">2013-02-20T09:27:00Z</dcterms:modified>
</cp:coreProperties>
</file>