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7748" w:rsidRPr="00837574" w:rsidRDefault="001B7748" w:rsidP="001B7748">
      <w:pPr>
        <w:spacing w:after="0"/>
        <w:jc w:val="center"/>
        <w:rPr>
          <w:b/>
          <w:u w:val="single"/>
        </w:rPr>
      </w:pPr>
      <w:r w:rsidRPr="00FA061C">
        <w:rPr>
          <w:b/>
          <w:u w:val="single"/>
        </w:rPr>
        <w:t>GÉNÉRATEURS</w:t>
      </w:r>
      <w:bookmarkStart w:id="0" w:name="_GoBack"/>
      <w:bookmarkEnd w:id="0"/>
    </w:p>
    <w:p w:rsidR="001B7748" w:rsidRDefault="001B7748" w:rsidP="001B7748">
      <w:pPr>
        <w:spacing w:after="0"/>
        <w:jc w:val="cente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
        <w:gridCol w:w="7649"/>
      </w:tblGrid>
      <w:tr w:rsidR="001B7748" w:rsidTr="008C7F22">
        <w:trPr>
          <w:cantSplit/>
          <w:trHeight w:val="70"/>
        </w:trPr>
        <w:tc>
          <w:tcPr>
            <w:tcW w:w="1413" w:type="dxa"/>
            <w:hideMark/>
          </w:tcPr>
          <w:p w:rsidR="001B7748" w:rsidRPr="005430B9" w:rsidRDefault="001B7748" w:rsidP="008C7F22">
            <w:pPr>
              <w:jc w:val="right"/>
              <w:rPr>
                <w:b/>
                <w:sz w:val="20"/>
                <w:u w:val="single"/>
              </w:rPr>
            </w:pPr>
            <w:r>
              <w:rPr>
                <w:b/>
                <w:color w:val="2F5496" w:themeColor="accent1" w:themeShade="BF"/>
                <w:sz w:val="20"/>
                <w:u w:val="single"/>
              </w:rPr>
              <w:t>CHAUFFAGE</w:t>
            </w:r>
          </w:p>
        </w:tc>
        <w:tc>
          <w:tcPr>
            <w:tcW w:w="7649" w:type="dxa"/>
            <w:hideMark/>
          </w:tcPr>
          <w:p w:rsidR="001B7748" w:rsidRDefault="001B7748" w:rsidP="008C7F22">
            <w:pPr>
              <w:jc w:val="both"/>
              <w:rPr>
                <w:color w:val="2F5496" w:themeColor="accent1" w:themeShade="BF"/>
                <w:sz w:val="20"/>
              </w:rPr>
            </w:pPr>
            <w:r>
              <w:rPr>
                <w:color w:val="2F5496" w:themeColor="accent1" w:themeShade="BF"/>
                <w:sz w:val="20"/>
              </w:rPr>
              <w:t xml:space="preserve">La </w:t>
            </w:r>
            <w:r w:rsidRPr="00AB3922">
              <w:rPr>
                <w:b/>
                <w:color w:val="2F5496" w:themeColor="accent1" w:themeShade="BF"/>
                <w:sz w:val="20"/>
              </w:rPr>
              <w:t>micro-cogénération</w:t>
            </w:r>
            <w:r>
              <w:rPr>
                <w:color w:val="2F5496" w:themeColor="accent1" w:themeShade="BF"/>
                <w:sz w:val="20"/>
              </w:rPr>
              <w:t xml:space="preserve"> au gaz a été dimensionnée afin de correspondre au mieux aux besoins en électricité du bâtiment. Celle-ci fonctionnant de façon constante durant la période hivernale, l’énergie thermique produite par cogénération couvre les talons de consommation électriques et thermiques du bâtiment. Elle est utilisée en priorité sur les retours du réseau de chauffage.</w:t>
            </w:r>
          </w:p>
          <w:p w:rsidR="001B7748" w:rsidRPr="003A7FB7" w:rsidRDefault="001B7748" w:rsidP="008C7F22">
            <w:pPr>
              <w:jc w:val="both"/>
              <w:rPr>
                <w:color w:val="2F5496" w:themeColor="accent1" w:themeShade="BF"/>
                <w:sz w:val="20"/>
              </w:rPr>
            </w:pPr>
            <w:r>
              <w:rPr>
                <w:color w:val="2F5496" w:themeColor="accent1" w:themeShade="BF"/>
                <w:sz w:val="20"/>
              </w:rPr>
              <w:t xml:space="preserve">La </w:t>
            </w:r>
            <w:r w:rsidRPr="00AB3922">
              <w:rPr>
                <w:b/>
                <w:color w:val="2F5496" w:themeColor="accent1" w:themeShade="BF"/>
                <w:sz w:val="20"/>
              </w:rPr>
              <w:t>chaudière à condensation</w:t>
            </w:r>
            <w:r>
              <w:rPr>
                <w:color w:val="2F5496" w:themeColor="accent1" w:themeShade="BF"/>
                <w:sz w:val="20"/>
              </w:rPr>
              <w:t xml:space="preserve"> permet de fournir l’énergie nécessaire pour les besoins en chauffage du bâtiment tout en permettant de compléter si besoin la production d’ECS.</w:t>
            </w:r>
          </w:p>
        </w:tc>
      </w:tr>
      <w:tr w:rsidR="001B7748" w:rsidTr="008C7F22">
        <w:trPr>
          <w:cantSplit/>
          <w:trHeight w:val="70"/>
        </w:trPr>
        <w:tc>
          <w:tcPr>
            <w:tcW w:w="1413" w:type="dxa"/>
          </w:tcPr>
          <w:p w:rsidR="001B7748" w:rsidRPr="005430B9" w:rsidRDefault="001B7748" w:rsidP="008C7F22">
            <w:pPr>
              <w:jc w:val="right"/>
              <w:rPr>
                <w:b/>
                <w:color w:val="2F5496" w:themeColor="accent1" w:themeShade="BF"/>
                <w:sz w:val="20"/>
                <w:u w:val="single"/>
              </w:rPr>
            </w:pPr>
          </w:p>
        </w:tc>
        <w:tc>
          <w:tcPr>
            <w:tcW w:w="7649" w:type="dxa"/>
          </w:tcPr>
          <w:p w:rsidR="001B7748" w:rsidRPr="000A5237" w:rsidRDefault="001B7748" w:rsidP="008C7F22">
            <w:pPr>
              <w:jc w:val="both"/>
              <w:rPr>
                <w:sz w:val="20"/>
              </w:rPr>
            </w:pPr>
          </w:p>
        </w:tc>
      </w:tr>
      <w:tr w:rsidR="001B7748" w:rsidTr="008C7F22">
        <w:trPr>
          <w:cantSplit/>
          <w:trHeight w:val="70"/>
        </w:trPr>
        <w:tc>
          <w:tcPr>
            <w:tcW w:w="1413" w:type="dxa"/>
          </w:tcPr>
          <w:p w:rsidR="001B7748" w:rsidRPr="005430B9" w:rsidRDefault="001B7748" w:rsidP="008C7F22">
            <w:pPr>
              <w:jc w:val="right"/>
              <w:rPr>
                <w:b/>
                <w:color w:val="2F5496" w:themeColor="accent1" w:themeShade="BF"/>
                <w:sz w:val="20"/>
                <w:u w:val="single"/>
              </w:rPr>
            </w:pPr>
            <w:r>
              <w:rPr>
                <w:b/>
                <w:color w:val="2F5496" w:themeColor="accent1" w:themeShade="BF"/>
                <w:sz w:val="20"/>
                <w:u w:val="single"/>
              </w:rPr>
              <w:t>ECS</w:t>
            </w:r>
            <w:r w:rsidRPr="00FB04E3">
              <w:rPr>
                <w:b/>
                <w:color w:val="2F5496" w:themeColor="accent1" w:themeShade="BF"/>
                <w:sz w:val="20"/>
                <w:u w:val="single"/>
              </w:rPr>
              <w:t xml:space="preserve"> </w:t>
            </w:r>
          </w:p>
        </w:tc>
        <w:tc>
          <w:tcPr>
            <w:tcW w:w="7649" w:type="dxa"/>
          </w:tcPr>
          <w:p w:rsidR="001B7748" w:rsidRDefault="001B7748" w:rsidP="008C7F22">
            <w:pPr>
              <w:jc w:val="both"/>
              <w:rPr>
                <w:color w:val="2F5496" w:themeColor="accent1" w:themeShade="BF"/>
                <w:sz w:val="20"/>
              </w:rPr>
            </w:pPr>
            <w:r>
              <w:rPr>
                <w:color w:val="2F5496" w:themeColor="accent1" w:themeShade="BF"/>
                <w:sz w:val="20"/>
              </w:rPr>
              <w:t xml:space="preserve">Les </w:t>
            </w:r>
            <w:r w:rsidRPr="00AB3922">
              <w:rPr>
                <w:b/>
                <w:color w:val="2F5496" w:themeColor="accent1" w:themeShade="BF"/>
                <w:sz w:val="20"/>
              </w:rPr>
              <w:t>récupérateurs d’énergie</w:t>
            </w:r>
            <w:r>
              <w:rPr>
                <w:color w:val="2F5496" w:themeColor="accent1" w:themeShade="BF"/>
                <w:sz w:val="20"/>
              </w:rPr>
              <w:t xml:space="preserve"> sur les compresseurs des groupes frigorifiques permettent de fournir de la chaleur pour les besoins en ECS des locaux. Plus de 60% des besoins en ECS pourront être couvert par ce dispositif.</w:t>
            </w:r>
          </w:p>
          <w:p w:rsidR="001B7748" w:rsidRPr="003A7FB7" w:rsidRDefault="001B7748" w:rsidP="008C7F22">
            <w:pPr>
              <w:jc w:val="both"/>
              <w:rPr>
                <w:color w:val="2F5496" w:themeColor="accent1" w:themeShade="BF"/>
                <w:sz w:val="20"/>
              </w:rPr>
            </w:pPr>
            <w:r>
              <w:rPr>
                <w:color w:val="2F5496" w:themeColor="accent1" w:themeShade="BF"/>
                <w:sz w:val="20"/>
              </w:rPr>
              <w:t xml:space="preserve">De plus, </w:t>
            </w:r>
            <w:r w:rsidRPr="0007060D">
              <w:rPr>
                <w:color w:val="2F5496" w:themeColor="accent1" w:themeShade="BF"/>
                <w:sz w:val="20"/>
              </w:rPr>
              <w:t xml:space="preserve">Les eaux tièdes d’évacuations des douches des vestiaires </w:t>
            </w:r>
            <w:r w:rsidRPr="00AB3922">
              <w:rPr>
                <w:b/>
                <w:color w:val="2F5496" w:themeColor="accent1" w:themeShade="BF"/>
                <w:sz w:val="20"/>
              </w:rPr>
              <w:t>circulent au travers d’un échangeur</w:t>
            </w:r>
            <w:r w:rsidRPr="0007060D">
              <w:rPr>
                <w:color w:val="2F5496" w:themeColor="accent1" w:themeShade="BF"/>
                <w:sz w:val="20"/>
              </w:rPr>
              <w:t xml:space="preserve"> afin de préchauffer l’eau arrivant au mitigeur. Ce système innovant titre V permet ain</w:t>
            </w:r>
            <w:r>
              <w:rPr>
                <w:color w:val="2F5496" w:themeColor="accent1" w:themeShade="BF"/>
                <w:sz w:val="20"/>
              </w:rPr>
              <w:t>si de récupérer l’énergie</w:t>
            </w:r>
            <w:r w:rsidRPr="0007060D">
              <w:rPr>
                <w:color w:val="2F5496" w:themeColor="accent1" w:themeShade="BF"/>
                <w:sz w:val="20"/>
              </w:rPr>
              <w:t xml:space="preserve"> c</w:t>
            </w:r>
            <w:r>
              <w:rPr>
                <w:color w:val="2F5496" w:themeColor="accent1" w:themeShade="BF"/>
                <w:sz w:val="20"/>
              </w:rPr>
              <w:t xml:space="preserve">ontenue dans les eaux usées. Cette énergie </w:t>
            </w:r>
            <w:r w:rsidRPr="0007060D">
              <w:rPr>
                <w:color w:val="2F5496" w:themeColor="accent1" w:themeShade="BF"/>
                <w:sz w:val="20"/>
              </w:rPr>
              <w:t>serait, sans ce dispositif, envoyée directement aux égouts.</w:t>
            </w:r>
          </w:p>
        </w:tc>
      </w:tr>
      <w:tr w:rsidR="001B7748" w:rsidTr="008C7F22">
        <w:trPr>
          <w:cantSplit/>
          <w:trHeight w:val="70"/>
        </w:trPr>
        <w:tc>
          <w:tcPr>
            <w:tcW w:w="1413" w:type="dxa"/>
          </w:tcPr>
          <w:p w:rsidR="001B7748" w:rsidRDefault="001B7748" w:rsidP="008C7F22">
            <w:pPr>
              <w:pStyle w:val="Sous-titre"/>
              <w:jc w:val="right"/>
            </w:pPr>
          </w:p>
        </w:tc>
        <w:tc>
          <w:tcPr>
            <w:tcW w:w="7649" w:type="dxa"/>
          </w:tcPr>
          <w:p w:rsidR="001B7748" w:rsidRDefault="001B7748" w:rsidP="008C7F22">
            <w:pPr>
              <w:rPr>
                <w:sz w:val="20"/>
              </w:rPr>
            </w:pPr>
          </w:p>
        </w:tc>
      </w:tr>
      <w:tr w:rsidR="001B7748" w:rsidTr="008C7F22">
        <w:trPr>
          <w:cantSplit/>
          <w:trHeight w:val="70"/>
        </w:trPr>
        <w:tc>
          <w:tcPr>
            <w:tcW w:w="1413" w:type="dxa"/>
            <w:hideMark/>
          </w:tcPr>
          <w:p w:rsidR="001B7748" w:rsidRPr="00A4693E" w:rsidRDefault="001B7748" w:rsidP="008C7F22">
            <w:pPr>
              <w:pStyle w:val="Sous-titre"/>
              <w:jc w:val="right"/>
            </w:pPr>
            <w:r w:rsidRPr="00FB04E3">
              <w:rPr>
                <w:color w:val="2F5496" w:themeColor="accent1" w:themeShade="BF"/>
              </w:rPr>
              <w:t xml:space="preserve">VENTILATION </w:t>
            </w:r>
          </w:p>
        </w:tc>
        <w:tc>
          <w:tcPr>
            <w:tcW w:w="7649" w:type="dxa"/>
            <w:hideMark/>
          </w:tcPr>
          <w:p w:rsidR="001B7748" w:rsidRDefault="001B7748" w:rsidP="008C7F22">
            <w:pPr>
              <w:jc w:val="both"/>
              <w:rPr>
                <w:color w:val="2F5496" w:themeColor="accent1" w:themeShade="BF"/>
                <w:sz w:val="20"/>
              </w:rPr>
            </w:pPr>
            <w:r w:rsidRPr="00A21070">
              <w:rPr>
                <w:color w:val="2F5496" w:themeColor="accent1" w:themeShade="BF"/>
                <w:sz w:val="20"/>
              </w:rPr>
              <w:t>Le bâtiment est multi-activités, sportif, associatif, bureaux, réception, cantine etc… Ainsi</w:t>
            </w:r>
            <w:r>
              <w:rPr>
                <w:color w:val="2F5496" w:themeColor="accent1" w:themeShade="BF"/>
                <w:sz w:val="20"/>
              </w:rPr>
              <w:t>, ces locaux ayant des conditions de fonctionnements spécifiques,</w:t>
            </w:r>
            <w:r w:rsidRPr="00A21070">
              <w:rPr>
                <w:color w:val="2F5496" w:themeColor="accent1" w:themeShade="BF"/>
                <w:sz w:val="20"/>
              </w:rPr>
              <w:t xml:space="preserve"> une centrale </w:t>
            </w:r>
            <w:r>
              <w:rPr>
                <w:color w:val="2F5496" w:themeColor="accent1" w:themeShade="BF"/>
                <w:sz w:val="20"/>
              </w:rPr>
              <w:t xml:space="preserve">de traitement d’air est dédiée à </w:t>
            </w:r>
            <w:r w:rsidRPr="00A21070">
              <w:rPr>
                <w:color w:val="2F5496" w:themeColor="accent1" w:themeShade="BF"/>
                <w:sz w:val="20"/>
              </w:rPr>
              <w:t xml:space="preserve">chacun </w:t>
            </w:r>
            <w:r>
              <w:rPr>
                <w:color w:val="2F5496" w:themeColor="accent1" w:themeShade="BF"/>
                <w:sz w:val="20"/>
              </w:rPr>
              <w:t>d’entre eux.</w:t>
            </w:r>
          </w:p>
          <w:p w:rsidR="001B7748" w:rsidRPr="00A21070" w:rsidRDefault="001B7748" w:rsidP="008C7F22">
            <w:pPr>
              <w:jc w:val="both"/>
              <w:rPr>
                <w:color w:val="2F5496" w:themeColor="accent1" w:themeShade="BF"/>
                <w:sz w:val="20"/>
              </w:rPr>
            </w:pPr>
            <w:r w:rsidRPr="00A21070">
              <w:rPr>
                <w:color w:val="2F5496" w:themeColor="accent1" w:themeShade="BF"/>
                <w:sz w:val="20"/>
              </w:rPr>
              <w:t xml:space="preserve">Compte tenu des débits importants nécessaires au renouvellement d’air du bâtiment, les centrales de traitement d’air sont équipées de </w:t>
            </w:r>
            <w:r w:rsidRPr="000B6EC0">
              <w:rPr>
                <w:b/>
                <w:color w:val="2F5496" w:themeColor="accent1" w:themeShade="BF"/>
                <w:sz w:val="20"/>
              </w:rPr>
              <w:t>système de ventilation double-flux</w:t>
            </w:r>
            <w:r w:rsidRPr="00A21070">
              <w:rPr>
                <w:color w:val="2F5496" w:themeColor="accent1" w:themeShade="BF"/>
                <w:sz w:val="20"/>
              </w:rPr>
              <w:t xml:space="preserve"> qui récupère la chaleur de l’air extrait pour la transmettre à l’air neuf.</w:t>
            </w:r>
          </w:p>
          <w:p w:rsidR="001B7748" w:rsidRPr="003A7FB7" w:rsidRDefault="001B7748" w:rsidP="008C7F22">
            <w:pPr>
              <w:jc w:val="both"/>
              <w:rPr>
                <w:color w:val="2F5496" w:themeColor="accent1" w:themeShade="BF"/>
                <w:sz w:val="20"/>
              </w:rPr>
            </w:pPr>
            <w:r w:rsidRPr="00A21070">
              <w:rPr>
                <w:color w:val="2F5496" w:themeColor="accent1" w:themeShade="BF"/>
                <w:sz w:val="20"/>
              </w:rPr>
              <w:t xml:space="preserve">Enfin, ces CTA sont équipés de By-pass afin de permettre un </w:t>
            </w:r>
            <w:r w:rsidRPr="009C7D85">
              <w:rPr>
                <w:b/>
                <w:color w:val="2F5496" w:themeColor="accent1" w:themeShade="BF"/>
                <w:sz w:val="20"/>
              </w:rPr>
              <w:t>free-</w:t>
            </w:r>
            <w:proofErr w:type="spellStart"/>
            <w:r w:rsidRPr="009C7D85">
              <w:rPr>
                <w:b/>
                <w:color w:val="2F5496" w:themeColor="accent1" w:themeShade="BF"/>
                <w:sz w:val="20"/>
              </w:rPr>
              <w:t>cooling</w:t>
            </w:r>
            <w:proofErr w:type="spellEnd"/>
            <w:r w:rsidRPr="00A21070">
              <w:rPr>
                <w:color w:val="2F5496" w:themeColor="accent1" w:themeShade="BF"/>
                <w:sz w:val="20"/>
              </w:rPr>
              <w:t xml:space="preserve"> des locaux en période estivale.</w:t>
            </w:r>
          </w:p>
        </w:tc>
      </w:tr>
      <w:tr w:rsidR="001B7748" w:rsidTr="008C7F22">
        <w:trPr>
          <w:cantSplit/>
          <w:trHeight w:val="70"/>
        </w:trPr>
        <w:tc>
          <w:tcPr>
            <w:tcW w:w="1413" w:type="dxa"/>
          </w:tcPr>
          <w:p w:rsidR="001B7748" w:rsidRDefault="001B7748" w:rsidP="008C7F22">
            <w:pPr>
              <w:pStyle w:val="Sous-titre"/>
              <w:jc w:val="right"/>
            </w:pPr>
          </w:p>
        </w:tc>
        <w:tc>
          <w:tcPr>
            <w:tcW w:w="7649" w:type="dxa"/>
          </w:tcPr>
          <w:p w:rsidR="001B7748" w:rsidRDefault="001B7748" w:rsidP="008C7F22">
            <w:pPr>
              <w:rPr>
                <w:sz w:val="20"/>
              </w:rPr>
            </w:pPr>
          </w:p>
        </w:tc>
      </w:tr>
      <w:tr w:rsidR="001B7748" w:rsidTr="008C7F22">
        <w:trPr>
          <w:cantSplit/>
          <w:trHeight w:val="70"/>
        </w:trPr>
        <w:tc>
          <w:tcPr>
            <w:tcW w:w="1413" w:type="dxa"/>
            <w:hideMark/>
          </w:tcPr>
          <w:p w:rsidR="001B7748" w:rsidRPr="009451FB" w:rsidRDefault="001B7748" w:rsidP="008C7F22">
            <w:pPr>
              <w:pStyle w:val="Sous-titre"/>
              <w:jc w:val="right"/>
              <w:rPr>
                <w:color w:val="2F5496" w:themeColor="accent1" w:themeShade="BF"/>
              </w:rPr>
            </w:pPr>
            <w:r w:rsidRPr="009451FB">
              <w:rPr>
                <w:color w:val="2F5496" w:themeColor="accent1" w:themeShade="BF"/>
              </w:rPr>
              <w:t>FROID</w:t>
            </w:r>
          </w:p>
        </w:tc>
        <w:tc>
          <w:tcPr>
            <w:tcW w:w="7649" w:type="dxa"/>
            <w:hideMark/>
          </w:tcPr>
          <w:p w:rsidR="001B7748" w:rsidRPr="003A7FB7" w:rsidRDefault="001B7748" w:rsidP="008C7F22">
            <w:pPr>
              <w:jc w:val="both"/>
              <w:rPr>
                <w:color w:val="2F5496" w:themeColor="accent1" w:themeShade="BF"/>
                <w:sz w:val="20"/>
              </w:rPr>
            </w:pPr>
            <w:r>
              <w:rPr>
                <w:color w:val="2F5496" w:themeColor="accent1" w:themeShade="BF"/>
                <w:sz w:val="20"/>
              </w:rPr>
              <w:t xml:space="preserve">La production de froid pour les besoins de la cuisine du bâtiment est assurée par </w:t>
            </w:r>
            <w:r w:rsidRPr="000C26D8">
              <w:rPr>
                <w:b/>
                <w:color w:val="2F5496" w:themeColor="accent1" w:themeShade="BF"/>
                <w:sz w:val="20"/>
              </w:rPr>
              <w:t>deux groupes froids</w:t>
            </w:r>
            <w:r>
              <w:rPr>
                <w:color w:val="2F5496" w:themeColor="accent1" w:themeShade="BF"/>
                <w:sz w:val="20"/>
              </w:rPr>
              <w:t xml:space="preserve"> distinct, l’un pour la chambre froide </w:t>
            </w:r>
            <w:r w:rsidRPr="000C26D8">
              <w:rPr>
                <w:b/>
                <w:color w:val="2F5496" w:themeColor="accent1" w:themeShade="BF"/>
                <w:sz w:val="20"/>
              </w:rPr>
              <w:t>négative</w:t>
            </w:r>
            <w:r>
              <w:rPr>
                <w:color w:val="2F5496" w:themeColor="accent1" w:themeShade="BF"/>
                <w:sz w:val="20"/>
              </w:rPr>
              <w:t xml:space="preserve"> et l’autre pour la </w:t>
            </w:r>
            <w:r w:rsidRPr="000C26D8">
              <w:rPr>
                <w:b/>
                <w:color w:val="2F5496" w:themeColor="accent1" w:themeShade="BF"/>
                <w:sz w:val="20"/>
              </w:rPr>
              <w:t>positive</w:t>
            </w:r>
            <w:r>
              <w:rPr>
                <w:color w:val="2F5496" w:themeColor="accent1" w:themeShade="BF"/>
                <w:sz w:val="20"/>
              </w:rPr>
              <w:t>. L’énergie thermique produite par les compresseurs est récupérée pour les besoins en ECS du bâtiment.</w:t>
            </w:r>
          </w:p>
        </w:tc>
      </w:tr>
      <w:tr w:rsidR="001B7748" w:rsidTr="008C7F22">
        <w:trPr>
          <w:cantSplit/>
          <w:trHeight w:val="70"/>
        </w:trPr>
        <w:tc>
          <w:tcPr>
            <w:tcW w:w="1413" w:type="dxa"/>
          </w:tcPr>
          <w:p w:rsidR="001B7748" w:rsidRPr="009451FB" w:rsidRDefault="001B7748" w:rsidP="008C7F22">
            <w:pPr>
              <w:pStyle w:val="Sous-titre"/>
              <w:jc w:val="right"/>
              <w:rPr>
                <w:color w:val="2F5496" w:themeColor="accent1" w:themeShade="BF"/>
              </w:rPr>
            </w:pPr>
          </w:p>
        </w:tc>
        <w:tc>
          <w:tcPr>
            <w:tcW w:w="7649" w:type="dxa"/>
          </w:tcPr>
          <w:p w:rsidR="001B7748" w:rsidRDefault="001B7748" w:rsidP="008C7F22">
            <w:pPr>
              <w:jc w:val="both"/>
              <w:rPr>
                <w:color w:val="2F5496" w:themeColor="accent1" w:themeShade="BF"/>
                <w:sz w:val="20"/>
              </w:rPr>
            </w:pPr>
          </w:p>
        </w:tc>
      </w:tr>
      <w:tr w:rsidR="001B7748" w:rsidTr="008C7F22">
        <w:trPr>
          <w:cantSplit/>
          <w:trHeight w:val="70"/>
        </w:trPr>
        <w:tc>
          <w:tcPr>
            <w:tcW w:w="1413" w:type="dxa"/>
          </w:tcPr>
          <w:p w:rsidR="001B7748" w:rsidRPr="009451FB" w:rsidRDefault="001B7748" w:rsidP="008C7F22">
            <w:pPr>
              <w:pStyle w:val="Sous-titre"/>
              <w:jc w:val="right"/>
              <w:rPr>
                <w:color w:val="2F5496" w:themeColor="accent1" w:themeShade="BF"/>
              </w:rPr>
            </w:pPr>
            <w:r>
              <w:rPr>
                <w:color w:val="2F5496" w:themeColor="accent1" w:themeShade="BF"/>
              </w:rPr>
              <w:t>ÉLECTRICITÉ</w:t>
            </w:r>
          </w:p>
        </w:tc>
        <w:tc>
          <w:tcPr>
            <w:tcW w:w="7649" w:type="dxa"/>
          </w:tcPr>
          <w:p w:rsidR="001B7748" w:rsidRDefault="001B7748" w:rsidP="008C7F22">
            <w:pPr>
              <w:jc w:val="both"/>
              <w:rPr>
                <w:color w:val="2F5496" w:themeColor="accent1" w:themeShade="BF"/>
                <w:sz w:val="20"/>
              </w:rPr>
            </w:pPr>
            <w:r w:rsidRPr="008E3AD1">
              <w:rPr>
                <w:color w:val="2F5496" w:themeColor="accent1" w:themeShade="BF"/>
                <w:sz w:val="20"/>
              </w:rPr>
              <w:t xml:space="preserve">En raison des besoins importants et constants en électricité pour les installations frigorifiques, et le brassage des différents locaux du bâtiment, une </w:t>
            </w:r>
            <w:r w:rsidRPr="006E4E9D">
              <w:rPr>
                <w:b/>
                <w:color w:val="2F5496" w:themeColor="accent1" w:themeShade="BF"/>
                <w:sz w:val="20"/>
              </w:rPr>
              <w:t>micro-cogénération</w:t>
            </w:r>
            <w:r w:rsidRPr="008E3AD1">
              <w:rPr>
                <w:color w:val="2F5496" w:themeColor="accent1" w:themeShade="BF"/>
                <w:sz w:val="20"/>
              </w:rPr>
              <w:t xml:space="preserve"> à condensation au gaz naturel de 14.7 kW thermique et 5.5</w:t>
            </w:r>
            <w:r>
              <w:rPr>
                <w:color w:val="2F5496" w:themeColor="accent1" w:themeShade="BF"/>
                <w:sz w:val="20"/>
              </w:rPr>
              <w:t xml:space="preserve"> kW électrique a été installée.</w:t>
            </w:r>
          </w:p>
          <w:p w:rsidR="001B7748" w:rsidRDefault="001B7748" w:rsidP="008C7F22">
            <w:pPr>
              <w:jc w:val="both"/>
              <w:rPr>
                <w:color w:val="2F5496" w:themeColor="accent1" w:themeShade="BF"/>
                <w:sz w:val="20"/>
              </w:rPr>
            </w:pPr>
            <w:r w:rsidRPr="00C80768">
              <w:rPr>
                <w:b/>
                <w:color w:val="2F5496" w:themeColor="accent1" w:themeShade="BF"/>
                <w:sz w:val="20"/>
              </w:rPr>
              <w:t>La quasi-totalité de l’énergie</w:t>
            </w:r>
            <w:r>
              <w:rPr>
                <w:b/>
                <w:color w:val="2F5496" w:themeColor="accent1" w:themeShade="BF"/>
                <w:sz w:val="20"/>
              </w:rPr>
              <w:t xml:space="preserve"> électrique</w:t>
            </w:r>
            <w:r w:rsidRPr="00C80768">
              <w:rPr>
                <w:b/>
                <w:color w:val="2F5496" w:themeColor="accent1" w:themeShade="BF"/>
                <w:sz w:val="20"/>
              </w:rPr>
              <w:t xml:space="preserve"> produite de cette façon est consommée sur place</w:t>
            </w:r>
            <w:r w:rsidRPr="008E3AD1">
              <w:rPr>
                <w:color w:val="2F5496" w:themeColor="accent1" w:themeShade="BF"/>
                <w:sz w:val="20"/>
              </w:rPr>
              <w:t>. Ce procédé permet ainsi de produire l’électricité nécessaire aux besoins électriques du bâtiment, à un coût très avantageux, tout en fournissant 47 MWh/an d’énergie thermique pour les besoins du bâtiment.</w:t>
            </w:r>
          </w:p>
        </w:tc>
      </w:tr>
    </w:tbl>
    <w:p w:rsidR="00BF5107" w:rsidRDefault="00BF5107"/>
    <w:sectPr w:rsidR="00BF51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F66"/>
    <w:rsid w:val="001B7748"/>
    <w:rsid w:val="00975F66"/>
    <w:rsid w:val="00BF51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EF2F9"/>
  <w15:chartTrackingRefBased/>
  <w15:docId w15:val="{088E3817-EB83-4394-BD9D-116FD549A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774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B77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link w:val="Sous-titreCar"/>
    <w:uiPriority w:val="11"/>
    <w:qFormat/>
    <w:rsid w:val="001B7748"/>
    <w:pPr>
      <w:spacing w:after="0" w:line="240" w:lineRule="auto"/>
      <w:jc w:val="center"/>
    </w:pPr>
    <w:rPr>
      <w:rFonts w:eastAsiaTheme="minorEastAsia" w:cstheme="minorHAnsi"/>
      <w:b/>
      <w:sz w:val="20"/>
      <w:u w:val="single"/>
    </w:rPr>
  </w:style>
  <w:style w:type="character" w:customStyle="1" w:styleId="Sous-titreCar">
    <w:name w:val="Sous-titre Car"/>
    <w:basedOn w:val="Policepardfaut"/>
    <w:link w:val="Sous-titre"/>
    <w:uiPriority w:val="11"/>
    <w:rsid w:val="001B7748"/>
    <w:rPr>
      <w:rFonts w:eastAsiaTheme="minorEastAsia" w:cstheme="minorHAnsi"/>
      <w:b/>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2177</Characters>
  <Application>Microsoft Office Word</Application>
  <DocSecurity>0</DocSecurity>
  <Lines>18</Lines>
  <Paragraphs>5</Paragraphs>
  <ScaleCrop>false</ScaleCrop>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HSSAINI Youness (Gaz Réseau Distribution France)</dc:creator>
  <cp:keywords/>
  <dc:description/>
  <cp:lastModifiedBy>HSSAINI Youness (Gaz Réseau Distribution France)</cp:lastModifiedBy>
  <cp:revision>2</cp:revision>
  <dcterms:created xsi:type="dcterms:W3CDTF">2019-05-29T09:59:00Z</dcterms:created>
  <dcterms:modified xsi:type="dcterms:W3CDTF">2019-05-29T09:59:00Z</dcterms:modified>
</cp:coreProperties>
</file>