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1E8" w:rsidRDefault="001D033F" w:rsidP="001D033F">
      <w:pPr>
        <w:pStyle w:val="a3"/>
      </w:pPr>
      <w:r>
        <w:rPr>
          <w:rFonts w:hint="eastAsia"/>
        </w:rPr>
        <w:t>青岛西海岸项目展示中心</w:t>
      </w:r>
      <w:r w:rsidR="002266EB">
        <w:rPr>
          <w:rFonts w:hint="eastAsia"/>
        </w:rPr>
        <w:t>光</w:t>
      </w:r>
      <w:bookmarkStart w:id="0" w:name="_GoBack"/>
      <w:r w:rsidR="002266EB">
        <w:rPr>
          <w:rFonts w:hint="eastAsia"/>
        </w:rPr>
        <w:t>伏应用项目设计说明</w:t>
      </w:r>
      <w:bookmarkEnd w:id="0"/>
    </w:p>
    <w:p w:rsidR="001D033F" w:rsidRPr="007C16A8" w:rsidRDefault="0000613B" w:rsidP="001D033F">
      <w:pPr>
        <w:rPr>
          <w:rFonts w:ascii="宋体" w:eastAsia="宋体" w:hAnsi="宋体"/>
          <w:b/>
          <w:sz w:val="28"/>
          <w:szCs w:val="28"/>
        </w:rPr>
      </w:pPr>
      <w:r>
        <w:rPr>
          <w:rFonts w:ascii="宋体" w:eastAsia="宋体" w:hAnsi="宋体" w:hint="eastAsia"/>
          <w:b/>
          <w:sz w:val="28"/>
          <w:szCs w:val="28"/>
        </w:rPr>
        <w:t>一、项目概况</w:t>
      </w:r>
    </w:p>
    <w:p w:rsidR="001D033F" w:rsidRDefault="001D033F" w:rsidP="001D033F">
      <w:pPr>
        <w:jc w:val="center"/>
      </w:pPr>
      <w:r>
        <w:rPr>
          <w:noProof/>
        </w:rPr>
        <w:drawing>
          <wp:inline distT="0" distB="0" distL="0" distR="0" wp14:anchorId="53D9ABFE" wp14:editId="2DD72577">
            <wp:extent cx="4953000" cy="32248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7380" cy="3234239"/>
                    </a:xfrm>
                    <a:prstGeom prst="rect">
                      <a:avLst/>
                    </a:prstGeom>
                  </pic:spPr>
                </pic:pic>
              </a:graphicData>
            </a:graphic>
          </wp:inline>
        </w:drawing>
      </w:r>
      <w:r>
        <w:rPr>
          <w:noProof/>
        </w:rPr>
        <w:drawing>
          <wp:inline distT="0" distB="0" distL="0" distR="0" wp14:anchorId="6A3BB887">
            <wp:extent cx="2390775" cy="3005629"/>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4359" cy="3010134"/>
                    </a:xfrm>
                    <a:prstGeom prst="rect">
                      <a:avLst/>
                    </a:prstGeom>
                    <a:noFill/>
                  </pic:spPr>
                </pic:pic>
              </a:graphicData>
            </a:graphic>
          </wp:inline>
        </w:drawing>
      </w:r>
      <w:r>
        <w:rPr>
          <w:noProof/>
        </w:rPr>
        <w:drawing>
          <wp:inline distT="0" distB="0" distL="0" distR="0" wp14:anchorId="6C35FDC4" wp14:editId="5626EDCA">
            <wp:extent cx="2813050" cy="3009761"/>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6149" cy="3023776"/>
                    </a:xfrm>
                    <a:prstGeom prst="rect">
                      <a:avLst/>
                    </a:prstGeom>
                  </pic:spPr>
                </pic:pic>
              </a:graphicData>
            </a:graphic>
          </wp:inline>
        </w:drawing>
      </w:r>
    </w:p>
    <w:p w:rsidR="002266EB" w:rsidRDefault="002266EB" w:rsidP="007C16A8">
      <w:pPr>
        <w:spacing w:line="360" w:lineRule="auto"/>
        <w:ind w:firstLineChars="200" w:firstLine="560"/>
        <w:rPr>
          <w:rFonts w:ascii="宋体" w:eastAsia="宋体" w:hAnsi="宋体" w:hint="eastAsia"/>
          <w:sz w:val="28"/>
          <w:szCs w:val="28"/>
        </w:rPr>
      </w:pPr>
      <w:r>
        <w:rPr>
          <w:rFonts w:ascii="宋体" w:eastAsia="宋体" w:hAnsi="宋体" w:hint="eastAsia"/>
          <w:sz w:val="28"/>
          <w:szCs w:val="28"/>
        </w:rPr>
        <w:t>青岛市位于东经1</w:t>
      </w:r>
      <w:r>
        <w:rPr>
          <w:rFonts w:ascii="宋体" w:eastAsia="宋体" w:hAnsi="宋体"/>
          <w:sz w:val="28"/>
          <w:szCs w:val="28"/>
        </w:rPr>
        <w:t>20</w:t>
      </w:r>
      <w:r>
        <w:rPr>
          <w:rFonts w:ascii="宋体" w:eastAsia="宋体" w:hAnsi="宋体" w:hint="eastAsia"/>
          <w:sz w:val="28"/>
          <w:szCs w:val="28"/>
        </w:rPr>
        <w:t>°</w:t>
      </w:r>
      <w:r>
        <w:rPr>
          <w:rFonts w:ascii="宋体" w:eastAsia="宋体" w:hAnsi="宋体"/>
          <w:sz w:val="28"/>
          <w:szCs w:val="28"/>
        </w:rPr>
        <w:t>33</w:t>
      </w:r>
      <w:r>
        <w:rPr>
          <w:rFonts w:ascii="宋体" w:eastAsia="宋体" w:hAnsi="宋体" w:hint="eastAsia"/>
          <w:sz w:val="28"/>
          <w:szCs w:val="28"/>
        </w:rPr>
        <w:t>′，北纬3</w:t>
      </w:r>
      <w:r>
        <w:rPr>
          <w:rFonts w:ascii="宋体" w:eastAsia="宋体" w:hAnsi="宋体"/>
          <w:sz w:val="28"/>
          <w:szCs w:val="28"/>
        </w:rPr>
        <w:t>6</w:t>
      </w:r>
      <w:r>
        <w:rPr>
          <w:rFonts w:ascii="宋体" w:eastAsia="宋体" w:hAnsi="宋体" w:hint="eastAsia"/>
          <w:sz w:val="28"/>
          <w:szCs w:val="28"/>
        </w:rPr>
        <w:t>°</w:t>
      </w:r>
      <w:r>
        <w:rPr>
          <w:rFonts w:ascii="宋体" w:eastAsia="宋体" w:hAnsi="宋体"/>
          <w:sz w:val="28"/>
          <w:szCs w:val="28"/>
        </w:rPr>
        <w:t>07</w:t>
      </w:r>
      <w:r>
        <w:rPr>
          <w:rFonts w:ascii="宋体" w:eastAsia="宋体" w:hAnsi="宋体" w:hint="eastAsia"/>
          <w:sz w:val="28"/>
          <w:szCs w:val="28"/>
        </w:rPr>
        <w:t>′，处于北回归线稍北，按照中国传统的太阳能资源分布划分属于“三类地区”（全年日照时数为2</w:t>
      </w:r>
      <w:r>
        <w:rPr>
          <w:rFonts w:ascii="宋体" w:eastAsia="宋体" w:hAnsi="宋体"/>
          <w:sz w:val="28"/>
          <w:szCs w:val="28"/>
        </w:rPr>
        <w:t>000</w:t>
      </w:r>
      <w:r>
        <w:rPr>
          <w:rFonts w:ascii="宋体" w:eastAsia="宋体" w:hAnsi="宋体" w:hint="eastAsia"/>
          <w:sz w:val="28"/>
          <w:szCs w:val="28"/>
        </w:rPr>
        <w:t>-</w:t>
      </w:r>
      <w:r>
        <w:rPr>
          <w:rFonts w:ascii="宋体" w:eastAsia="宋体" w:hAnsi="宋体"/>
          <w:sz w:val="28"/>
          <w:szCs w:val="28"/>
        </w:rPr>
        <w:t>3000</w:t>
      </w:r>
      <w:r>
        <w:rPr>
          <w:rFonts w:ascii="宋体" w:eastAsia="宋体" w:hAnsi="宋体" w:hint="eastAsia"/>
          <w:sz w:val="28"/>
          <w:szCs w:val="28"/>
        </w:rPr>
        <w:t>h，辐射量5</w:t>
      </w:r>
      <w:r>
        <w:rPr>
          <w:rFonts w:ascii="宋体" w:eastAsia="宋体" w:hAnsi="宋体"/>
          <w:sz w:val="28"/>
          <w:szCs w:val="28"/>
        </w:rPr>
        <w:t>02</w:t>
      </w:r>
      <w:r>
        <w:rPr>
          <w:rFonts w:ascii="宋体" w:eastAsia="宋体" w:hAnsi="宋体" w:hint="eastAsia"/>
          <w:sz w:val="28"/>
          <w:szCs w:val="28"/>
        </w:rPr>
        <w:t>-</w:t>
      </w:r>
      <w:r>
        <w:rPr>
          <w:rFonts w:ascii="宋体" w:eastAsia="宋体" w:hAnsi="宋体"/>
          <w:sz w:val="28"/>
          <w:szCs w:val="28"/>
        </w:rPr>
        <w:t>586</w:t>
      </w:r>
      <w:r>
        <w:rPr>
          <w:rFonts w:ascii="宋体" w:eastAsia="宋体" w:hAnsi="宋体" w:hint="eastAsia"/>
          <w:sz w:val="28"/>
          <w:szCs w:val="28"/>
        </w:rPr>
        <w:t>×1</w:t>
      </w:r>
      <w:r>
        <w:rPr>
          <w:rFonts w:ascii="宋体" w:eastAsia="宋体" w:hAnsi="宋体"/>
          <w:sz w:val="28"/>
          <w:szCs w:val="28"/>
        </w:rPr>
        <w:t>0</w:t>
      </w:r>
      <w:r w:rsidRPr="002266EB">
        <w:rPr>
          <w:rFonts w:ascii="宋体" w:eastAsia="宋体" w:hAnsi="宋体"/>
          <w:sz w:val="28"/>
          <w:szCs w:val="28"/>
          <w:vertAlign w:val="superscript"/>
        </w:rPr>
        <w:t>4</w:t>
      </w:r>
      <w:r>
        <w:rPr>
          <w:rFonts w:ascii="宋体" w:eastAsia="宋体" w:hAnsi="宋体"/>
          <w:sz w:val="28"/>
          <w:szCs w:val="28"/>
        </w:rPr>
        <w:t>kJ/</w:t>
      </w:r>
      <w:r>
        <w:rPr>
          <w:rFonts w:ascii="宋体" w:eastAsia="宋体" w:hAnsi="宋体" w:hint="eastAsia"/>
          <w:sz w:val="28"/>
          <w:szCs w:val="28"/>
        </w:rPr>
        <w:t>（m³·a），三类区为“太</w:t>
      </w:r>
      <w:r>
        <w:rPr>
          <w:rFonts w:ascii="宋体" w:eastAsia="宋体" w:hAnsi="宋体" w:hint="eastAsia"/>
          <w:sz w:val="28"/>
          <w:szCs w:val="28"/>
        </w:rPr>
        <w:lastRenderedPageBreak/>
        <w:t>阳能可利用区”。根据气象部门统计数据，青岛市年平均日照时数为2</w:t>
      </w:r>
      <w:r>
        <w:rPr>
          <w:rFonts w:ascii="宋体" w:eastAsia="宋体" w:hAnsi="宋体"/>
          <w:sz w:val="28"/>
          <w:szCs w:val="28"/>
        </w:rPr>
        <w:t>541</w:t>
      </w:r>
      <w:r>
        <w:rPr>
          <w:rFonts w:ascii="宋体" w:eastAsia="宋体" w:hAnsi="宋体" w:hint="eastAsia"/>
          <w:sz w:val="28"/>
          <w:szCs w:val="28"/>
        </w:rPr>
        <w:t>h，每平方米土地上每年的日照辐射强度可达1</w:t>
      </w:r>
      <w:r>
        <w:rPr>
          <w:rFonts w:ascii="宋体" w:eastAsia="宋体" w:hAnsi="宋体"/>
          <w:sz w:val="28"/>
          <w:szCs w:val="28"/>
        </w:rPr>
        <w:t>600kWh</w:t>
      </w:r>
      <w:r>
        <w:rPr>
          <w:rFonts w:ascii="宋体" w:eastAsia="宋体" w:hAnsi="宋体" w:hint="eastAsia"/>
          <w:sz w:val="28"/>
          <w:szCs w:val="28"/>
        </w:rPr>
        <w:t>以上，且青岛市连续阴雨天数较少，基本上以2天居多。从自然条件上说，青岛是适宜太阳能光伏发电的地区。</w:t>
      </w:r>
    </w:p>
    <w:p w:rsidR="001D033F" w:rsidRPr="007C16A8" w:rsidRDefault="001D033F" w:rsidP="007C16A8">
      <w:pPr>
        <w:spacing w:line="360" w:lineRule="auto"/>
        <w:ind w:firstLineChars="200" w:firstLine="560"/>
        <w:rPr>
          <w:rFonts w:ascii="宋体" w:eastAsia="宋体" w:hAnsi="宋体"/>
          <w:sz w:val="28"/>
          <w:szCs w:val="28"/>
        </w:rPr>
      </w:pPr>
      <w:r w:rsidRPr="007C16A8">
        <w:rPr>
          <w:rFonts w:ascii="宋体" w:eastAsia="宋体" w:hAnsi="宋体" w:hint="eastAsia"/>
          <w:sz w:val="28"/>
          <w:szCs w:val="28"/>
        </w:rPr>
        <w:t>金茂青岛西海岸项目展示中心幕墙光伏系统是金茂系统内第一个真正意义的B</w:t>
      </w:r>
      <w:r w:rsidRPr="007C16A8">
        <w:rPr>
          <w:rFonts w:ascii="宋体" w:eastAsia="宋体" w:hAnsi="宋体"/>
          <w:sz w:val="28"/>
          <w:szCs w:val="28"/>
        </w:rPr>
        <w:t>IPV</w:t>
      </w:r>
      <w:r w:rsidRPr="007C16A8">
        <w:rPr>
          <w:rFonts w:ascii="宋体" w:eastAsia="宋体" w:hAnsi="宋体" w:hint="eastAsia"/>
          <w:sz w:val="28"/>
          <w:szCs w:val="28"/>
        </w:rPr>
        <w:t>项目，拟采用6+3.2厚的光伏玻璃替代一部分铝扣板充当建筑屋顶，</w:t>
      </w:r>
      <w:r w:rsidR="007C16A8">
        <w:rPr>
          <w:rFonts w:ascii="宋体" w:eastAsia="宋体" w:hAnsi="宋体" w:hint="eastAsia"/>
          <w:sz w:val="28"/>
          <w:szCs w:val="28"/>
        </w:rPr>
        <w:t>装机容量为40kW</w:t>
      </w:r>
      <w:r w:rsidR="007C16A8">
        <w:rPr>
          <w:rFonts w:ascii="宋体" w:eastAsia="宋体" w:hAnsi="宋体"/>
          <w:sz w:val="28"/>
          <w:szCs w:val="28"/>
        </w:rPr>
        <w:t>p</w:t>
      </w:r>
      <w:r w:rsidR="007C16A8">
        <w:rPr>
          <w:rFonts w:ascii="宋体" w:eastAsia="宋体" w:hAnsi="宋体" w:hint="eastAsia"/>
          <w:sz w:val="28"/>
          <w:szCs w:val="28"/>
        </w:rPr>
        <w:t>，金茂绿建配合金茂青岛公司完成了幕墙光伏系统的前期咨询和方案</w:t>
      </w:r>
      <w:r w:rsidR="005B2F8F">
        <w:rPr>
          <w:rFonts w:ascii="宋体" w:eastAsia="宋体" w:hAnsi="宋体" w:hint="eastAsia"/>
          <w:sz w:val="28"/>
          <w:szCs w:val="28"/>
        </w:rPr>
        <w:t>设计，项目具有一定的示范意义。</w:t>
      </w:r>
    </w:p>
    <w:p w:rsidR="001D033F" w:rsidRDefault="007C16A8">
      <w:pPr>
        <w:rPr>
          <w:rFonts w:ascii="宋体" w:eastAsia="宋体" w:hAnsi="宋体"/>
          <w:b/>
          <w:sz w:val="28"/>
          <w:szCs w:val="28"/>
        </w:rPr>
      </w:pPr>
      <w:r w:rsidRPr="007C16A8">
        <w:rPr>
          <w:rFonts w:ascii="宋体" w:eastAsia="宋体" w:hAnsi="宋体" w:hint="eastAsia"/>
          <w:b/>
          <w:sz w:val="28"/>
          <w:szCs w:val="28"/>
        </w:rPr>
        <w:t>二、</w:t>
      </w:r>
      <w:r w:rsidR="0000613B">
        <w:rPr>
          <w:rFonts w:ascii="宋体" w:eastAsia="宋体" w:hAnsi="宋体" w:hint="eastAsia"/>
          <w:b/>
          <w:sz w:val="28"/>
          <w:szCs w:val="28"/>
        </w:rPr>
        <w:t>主要设备选型</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hint="eastAsia"/>
          <w:sz w:val="28"/>
          <w:szCs w:val="28"/>
        </w:rPr>
        <w:t>本项目选用碲化镉薄膜光伏发电</w:t>
      </w:r>
      <w:r w:rsidR="006431C4">
        <w:rPr>
          <w:rFonts w:ascii="宋体" w:eastAsia="宋体" w:hAnsi="宋体" w:hint="eastAsia"/>
          <w:sz w:val="28"/>
          <w:szCs w:val="28"/>
        </w:rPr>
        <w:t>玻璃。</w:t>
      </w:r>
      <w:r w:rsidRPr="0000613B">
        <w:rPr>
          <w:rFonts w:ascii="宋体" w:eastAsia="宋体" w:hAnsi="宋体"/>
          <w:sz w:val="28"/>
          <w:szCs w:val="28"/>
        </w:rPr>
        <w:t>它是一种以p型CdTe和n型CdS的异质结为基础的薄膜太阳能电池。简单来说，就是在玻璃或是其它柔性衬底上依次沉积多层薄膜而构成的光伏器件。</w:t>
      </w:r>
      <w:r w:rsidR="006431C4">
        <w:rPr>
          <w:rFonts w:ascii="宋体" w:eastAsia="宋体" w:hAnsi="宋体" w:hint="eastAsia"/>
          <w:sz w:val="28"/>
          <w:szCs w:val="28"/>
        </w:rPr>
        <w:t>与传统晶体硅太阳能电池相比，碲化镉太阳能电池具备以下几方面的优势</w:t>
      </w:r>
      <w:r w:rsidRPr="0000613B">
        <w:rPr>
          <w:rFonts w:ascii="宋体" w:eastAsia="宋体" w:hAnsi="宋体" w:hint="eastAsia"/>
          <w:sz w:val="28"/>
          <w:szCs w:val="28"/>
        </w:rPr>
        <w:t>：</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sz w:val="28"/>
          <w:szCs w:val="28"/>
        </w:rPr>
        <w:t>1、理想的禁带宽度</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hint="eastAsia"/>
          <w:sz w:val="28"/>
          <w:szCs w:val="28"/>
        </w:rPr>
        <w:t>由于只有能量高于半导体材料的禁带宽度的光子能被吸收，半导体材料的禁带宽度决定了材料能吸收的光子的最小能量（</w:t>
      </w:r>
      <w:r w:rsidRPr="0000613B">
        <w:rPr>
          <w:rFonts w:ascii="宋体" w:eastAsia="宋体" w:hAnsi="宋体"/>
          <w:sz w:val="28"/>
          <w:szCs w:val="28"/>
        </w:rPr>
        <w:t>hv），即最大波长。一般禁带宽度在1到1.7eV。碲化镉的禁带宽度一般为1.47eV，碲化镉的光谱响应和太阳光谱非常匹配，最适合于光电能量转换</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sz w:val="28"/>
          <w:szCs w:val="28"/>
        </w:rPr>
        <w:t>2、光吸收率高</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hint="eastAsia"/>
          <w:sz w:val="28"/>
          <w:szCs w:val="28"/>
        </w:rPr>
        <w:t>碲化镉的吸收系数在可见光范围高达</w:t>
      </w:r>
      <w:r w:rsidRPr="0000613B">
        <w:rPr>
          <w:rFonts w:ascii="宋体" w:eastAsia="宋体" w:hAnsi="宋体"/>
          <w:sz w:val="28"/>
          <w:szCs w:val="28"/>
        </w:rPr>
        <w:t>104cm-1以上，95%的光子可在1μm厚的吸收层内被吸收。</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sz w:val="28"/>
          <w:szCs w:val="28"/>
        </w:rPr>
        <w:lastRenderedPageBreak/>
        <w:t>3、转换效率高</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hint="eastAsia"/>
          <w:sz w:val="28"/>
          <w:szCs w:val="28"/>
        </w:rPr>
        <w:t>碲化镉薄膜太阳能电池的理论光电转换效率约为</w:t>
      </w:r>
      <w:r w:rsidRPr="0000613B">
        <w:rPr>
          <w:rFonts w:ascii="宋体" w:eastAsia="宋体" w:hAnsi="宋体"/>
          <w:sz w:val="28"/>
          <w:szCs w:val="28"/>
        </w:rPr>
        <w:t>28%。现今，已获得的最高效率为16%，是应用前景最好的新型太阳电池，国内最近碲化镉电池转换效率也已经突破13.38%，进入了世界先进行列。</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sz w:val="28"/>
          <w:szCs w:val="28"/>
        </w:rPr>
        <w:t>4、电池性能稳定</w:t>
      </w:r>
    </w:p>
    <w:p w:rsidR="0000613B" w:rsidRPr="0000613B" w:rsidRDefault="0000613B" w:rsidP="006431C4">
      <w:pPr>
        <w:spacing w:line="360" w:lineRule="auto"/>
        <w:ind w:firstLineChars="200" w:firstLine="560"/>
        <w:rPr>
          <w:rFonts w:ascii="宋体" w:eastAsia="宋体" w:hAnsi="宋体"/>
          <w:sz w:val="28"/>
          <w:szCs w:val="28"/>
        </w:rPr>
      </w:pPr>
      <w:r w:rsidRPr="0000613B">
        <w:rPr>
          <w:rFonts w:ascii="宋体" w:eastAsia="宋体" w:hAnsi="宋体" w:hint="eastAsia"/>
          <w:sz w:val="28"/>
          <w:szCs w:val="28"/>
        </w:rPr>
        <w:t>一般的碲化镉薄膜太阳能电池的设计使用时间为</w:t>
      </w:r>
      <w:r w:rsidRPr="0000613B">
        <w:rPr>
          <w:rFonts w:ascii="宋体" w:eastAsia="宋体" w:hAnsi="宋体"/>
          <w:sz w:val="28"/>
          <w:szCs w:val="28"/>
        </w:rPr>
        <w:t>20年。</w:t>
      </w:r>
    </w:p>
    <w:p w:rsidR="007C16A8" w:rsidRDefault="006431C4" w:rsidP="007C16A8">
      <w:pPr>
        <w:spacing w:line="360" w:lineRule="auto"/>
        <w:ind w:firstLineChars="200" w:firstLine="560"/>
        <w:rPr>
          <w:rFonts w:ascii="宋体" w:eastAsia="宋体" w:hAnsi="宋体"/>
          <w:sz w:val="28"/>
          <w:szCs w:val="28"/>
        </w:rPr>
      </w:pPr>
      <w:r>
        <w:rPr>
          <w:rFonts w:ascii="宋体" w:eastAsia="宋体" w:hAnsi="宋体" w:hint="eastAsia"/>
          <w:sz w:val="28"/>
          <w:szCs w:val="28"/>
        </w:rPr>
        <w:t>此外，由于碲化镉太阳能电池还可以与建筑幕墙玻璃相结合，构造出不同颜色、透光率的建筑幕墙玻璃，成为可以发电的绿色建材，</w:t>
      </w:r>
      <w:r w:rsidRPr="006431C4">
        <w:rPr>
          <w:rFonts w:ascii="宋体" w:eastAsia="宋体" w:hAnsi="宋体" w:hint="eastAsia"/>
          <w:sz w:val="28"/>
          <w:szCs w:val="28"/>
        </w:rPr>
        <w:t>目前，与建筑光伏应用形式多样化相适应的光伏产品，正朝着建材化和构件化的方向发展。比如，光伏组件可以安装在屋顶上，形成光伏组件屋面、光伏采光顶、光伏瓦屋面、光伏金属屋面等；光伏组件还可以安装在墙面上，形成光伏幕墙、光伏窗间墙等；光伏组件也可以与建筑遮阳结合，形成光伏外窗遮阳、光伏屋檐遮阳、光伏雨篷遮阳、光伏长廊遮阳，以及停车棚、公交站亭、过街天桥、体育场看台等光伏遮阳；光伏组件还可以与农业温室结合，形成光伏温室。</w:t>
      </w:r>
      <w:r w:rsidRPr="006431C4">
        <w:rPr>
          <w:rFonts w:ascii="宋体" w:eastAsia="宋体" w:hAnsi="宋体"/>
          <w:sz w:val="28"/>
          <w:szCs w:val="28"/>
        </w:rPr>
        <w:t>BIPV不仅是光伏产业从集中式地面站向分布式发电市场转型的一个重要的市场和热点，也是建筑行业发展绿</w:t>
      </w:r>
      <w:r w:rsidRPr="006431C4">
        <w:rPr>
          <w:rFonts w:ascii="宋体" w:eastAsia="宋体" w:hAnsi="宋体" w:hint="eastAsia"/>
          <w:sz w:val="28"/>
          <w:szCs w:val="28"/>
        </w:rPr>
        <w:t>色建筑和近零能耗建筑的重要技术手段。建筑能耗高达社会能源总消耗量的</w:t>
      </w:r>
      <w:r w:rsidRPr="006431C4">
        <w:rPr>
          <w:rFonts w:ascii="宋体" w:eastAsia="宋体" w:hAnsi="宋体"/>
          <w:sz w:val="28"/>
          <w:szCs w:val="28"/>
        </w:rPr>
        <w:t>15%，降低建筑能耗成为了能源革命的现实需求。</w:t>
      </w:r>
    </w:p>
    <w:p w:rsidR="006431C4" w:rsidRDefault="006431C4" w:rsidP="007C16A8">
      <w:pPr>
        <w:spacing w:line="360" w:lineRule="auto"/>
        <w:ind w:firstLineChars="200" w:firstLine="560"/>
        <w:rPr>
          <w:rFonts w:ascii="宋体" w:eastAsia="宋体" w:hAnsi="宋体"/>
          <w:sz w:val="28"/>
          <w:szCs w:val="28"/>
        </w:rPr>
      </w:pPr>
      <w:r>
        <w:rPr>
          <w:rFonts w:ascii="宋体" w:eastAsia="宋体" w:hAnsi="宋体" w:hint="eastAsia"/>
          <w:sz w:val="28"/>
          <w:szCs w:val="28"/>
        </w:rPr>
        <w:t>本项目选用中山瑞科新能源公司</w:t>
      </w:r>
      <w:r w:rsidRPr="007C16A8">
        <w:rPr>
          <w:rFonts w:ascii="宋体" w:eastAsia="宋体" w:hAnsi="宋体" w:hint="eastAsia"/>
          <w:sz w:val="28"/>
          <w:szCs w:val="28"/>
        </w:rPr>
        <w:t>6+3.2</w:t>
      </w:r>
      <w:r>
        <w:rPr>
          <w:rFonts w:ascii="宋体" w:eastAsia="宋体" w:hAnsi="宋体" w:hint="eastAsia"/>
          <w:sz w:val="28"/>
          <w:szCs w:val="28"/>
        </w:rPr>
        <w:t>厚的光伏发电玻璃，性能参数如下表所示：</w:t>
      </w:r>
    </w:p>
    <w:tbl>
      <w:tblPr>
        <w:tblStyle w:val="a5"/>
        <w:tblW w:w="0" w:type="auto"/>
        <w:tblLook w:val="04A0" w:firstRow="1" w:lastRow="0" w:firstColumn="1" w:lastColumn="0" w:noHBand="0" w:noVBand="1"/>
      </w:tblPr>
      <w:tblGrid>
        <w:gridCol w:w="4148"/>
        <w:gridCol w:w="4148"/>
      </w:tblGrid>
      <w:tr w:rsidR="00EA1D5F" w:rsidTr="0060472D">
        <w:tc>
          <w:tcPr>
            <w:tcW w:w="8296" w:type="dxa"/>
            <w:gridSpan w:val="2"/>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t>电性能参数</w:t>
            </w:r>
          </w:p>
        </w:tc>
      </w:tr>
      <w:tr w:rsidR="00EA1D5F" w:rsidTr="00EA1D5F">
        <w:tc>
          <w:tcPr>
            <w:tcW w:w="4148" w:type="dxa"/>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lastRenderedPageBreak/>
              <w:t>额定功率</w:t>
            </w:r>
            <w:r w:rsidR="00C16639">
              <w:rPr>
                <w:rFonts w:ascii="宋体" w:eastAsia="宋体" w:hAnsi="宋体"/>
                <w:sz w:val="28"/>
                <w:szCs w:val="28"/>
              </w:rPr>
              <w:t>P</w:t>
            </w:r>
            <w:r w:rsidR="00C16639">
              <w:rPr>
                <w:rFonts w:ascii="宋体" w:eastAsia="宋体" w:hAnsi="宋体" w:hint="eastAsia"/>
                <w:sz w:val="28"/>
                <w:szCs w:val="28"/>
              </w:rPr>
              <w:t>mmp</w:t>
            </w:r>
            <w:r w:rsidR="00C16639">
              <w:rPr>
                <w:rFonts w:ascii="宋体" w:eastAsia="宋体" w:hAnsi="宋体"/>
                <w:sz w:val="28"/>
                <w:szCs w:val="28"/>
              </w:rPr>
              <w:t>(W</w:t>
            </w:r>
            <w:r w:rsidR="00C16639">
              <w:rPr>
                <w:rFonts w:ascii="宋体" w:eastAsia="宋体" w:hAnsi="宋体" w:hint="eastAsia"/>
                <w:sz w:val="28"/>
                <w:szCs w:val="28"/>
              </w:rPr>
              <w:t>p</w:t>
            </w:r>
            <w:r w:rsidR="00C16639">
              <w:rPr>
                <w:rFonts w:ascii="宋体" w:eastAsia="宋体" w:hAnsi="宋体"/>
                <w:sz w:val="28"/>
                <w:szCs w:val="28"/>
              </w:rPr>
              <w:t>)</w:t>
            </w:r>
          </w:p>
        </w:tc>
        <w:tc>
          <w:tcPr>
            <w:tcW w:w="4148" w:type="dxa"/>
          </w:tcPr>
          <w:p w:rsidR="00EA1D5F"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05</w:t>
            </w:r>
          </w:p>
        </w:tc>
      </w:tr>
      <w:tr w:rsidR="00EA1D5F" w:rsidTr="00EA1D5F">
        <w:tc>
          <w:tcPr>
            <w:tcW w:w="4148" w:type="dxa"/>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t>峰值电压</w:t>
            </w:r>
            <w:r w:rsidR="00C16639">
              <w:rPr>
                <w:rFonts w:ascii="宋体" w:eastAsia="宋体" w:hAnsi="宋体" w:hint="eastAsia"/>
                <w:sz w:val="28"/>
                <w:szCs w:val="28"/>
              </w:rPr>
              <w:t>V</w:t>
            </w:r>
            <w:r w:rsidR="00C16639">
              <w:rPr>
                <w:rFonts w:ascii="宋体" w:eastAsia="宋体" w:hAnsi="宋体"/>
                <w:sz w:val="28"/>
                <w:szCs w:val="28"/>
              </w:rPr>
              <w:t>mmp(V)</w:t>
            </w:r>
          </w:p>
        </w:tc>
        <w:tc>
          <w:tcPr>
            <w:tcW w:w="4148" w:type="dxa"/>
          </w:tcPr>
          <w:p w:rsidR="00EA1D5F" w:rsidRDefault="00DC59FD" w:rsidP="006431C4">
            <w:pPr>
              <w:spacing w:line="360" w:lineRule="auto"/>
              <w:rPr>
                <w:rFonts w:ascii="宋体" w:eastAsia="宋体" w:hAnsi="宋体"/>
                <w:sz w:val="28"/>
                <w:szCs w:val="28"/>
              </w:rPr>
            </w:pPr>
            <w:r>
              <w:rPr>
                <w:rFonts w:ascii="宋体" w:eastAsia="宋体" w:hAnsi="宋体" w:hint="eastAsia"/>
                <w:sz w:val="28"/>
                <w:szCs w:val="28"/>
              </w:rPr>
              <w:t>9</w:t>
            </w:r>
            <w:r>
              <w:rPr>
                <w:rFonts w:ascii="宋体" w:eastAsia="宋体" w:hAnsi="宋体"/>
                <w:sz w:val="28"/>
                <w:szCs w:val="28"/>
              </w:rPr>
              <w:t>7.2</w:t>
            </w:r>
          </w:p>
        </w:tc>
      </w:tr>
      <w:tr w:rsidR="00EA1D5F" w:rsidTr="00EA1D5F">
        <w:tc>
          <w:tcPr>
            <w:tcW w:w="4148" w:type="dxa"/>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t>峰值电流</w:t>
            </w:r>
            <w:r w:rsidR="00C16639">
              <w:rPr>
                <w:rFonts w:ascii="宋体" w:eastAsia="宋体" w:hAnsi="宋体"/>
                <w:sz w:val="28"/>
                <w:szCs w:val="28"/>
              </w:rPr>
              <w:t>Immp(A)</w:t>
            </w:r>
          </w:p>
        </w:tc>
        <w:tc>
          <w:tcPr>
            <w:tcW w:w="4148" w:type="dxa"/>
          </w:tcPr>
          <w:p w:rsidR="00EA1D5F"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.08</w:t>
            </w:r>
          </w:p>
        </w:tc>
      </w:tr>
      <w:tr w:rsidR="00EA1D5F" w:rsidTr="00EA1D5F">
        <w:tc>
          <w:tcPr>
            <w:tcW w:w="4148" w:type="dxa"/>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t>开路电压</w:t>
            </w:r>
            <w:r w:rsidR="00DC59FD">
              <w:rPr>
                <w:rFonts w:ascii="宋体" w:eastAsia="宋体" w:hAnsi="宋体"/>
                <w:sz w:val="28"/>
                <w:szCs w:val="28"/>
              </w:rPr>
              <w:t>Voc(V)</w:t>
            </w:r>
          </w:p>
        </w:tc>
        <w:tc>
          <w:tcPr>
            <w:tcW w:w="4148" w:type="dxa"/>
          </w:tcPr>
          <w:p w:rsidR="00EA1D5F"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23.8</w:t>
            </w:r>
          </w:p>
        </w:tc>
      </w:tr>
      <w:tr w:rsidR="00EA1D5F" w:rsidTr="00EA1D5F">
        <w:tc>
          <w:tcPr>
            <w:tcW w:w="4148" w:type="dxa"/>
          </w:tcPr>
          <w:p w:rsidR="00EA1D5F" w:rsidRDefault="00EA1D5F" w:rsidP="006431C4">
            <w:pPr>
              <w:spacing w:line="360" w:lineRule="auto"/>
              <w:rPr>
                <w:rFonts w:ascii="宋体" w:eastAsia="宋体" w:hAnsi="宋体"/>
                <w:sz w:val="28"/>
                <w:szCs w:val="28"/>
              </w:rPr>
            </w:pPr>
            <w:r>
              <w:rPr>
                <w:rFonts w:ascii="宋体" w:eastAsia="宋体" w:hAnsi="宋体" w:hint="eastAsia"/>
                <w:sz w:val="28"/>
                <w:szCs w:val="28"/>
              </w:rPr>
              <w:t>短路电流</w:t>
            </w:r>
            <w:r w:rsidR="00DC59FD">
              <w:rPr>
                <w:rFonts w:ascii="宋体" w:eastAsia="宋体" w:hAnsi="宋体" w:hint="eastAsia"/>
                <w:sz w:val="28"/>
                <w:szCs w:val="28"/>
              </w:rPr>
              <w:t>I</w:t>
            </w:r>
            <w:r w:rsidR="00DC59FD">
              <w:rPr>
                <w:rFonts w:ascii="宋体" w:eastAsia="宋体" w:hAnsi="宋体"/>
                <w:sz w:val="28"/>
                <w:szCs w:val="28"/>
              </w:rPr>
              <w:t>sc(A)</w:t>
            </w:r>
          </w:p>
        </w:tc>
        <w:tc>
          <w:tcPr>
            <w:tcW w:w="4148" w:type="dxa"/>
          </w:tcPr>
          <w:p w:rsidR="00EA1D5F"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.24</w:t>
            </w:r>
          </w:p>
        </w:tc>
      </w:tr>
      <w:tr w:rsidR="00DC59FD" w:rsidTr="00A25CFE">
        <w:tc>
          <w:tcPr>
            <w:tcW w:w="8296" w:type="dxa"/>
            <w:gridSpan w:val="2"/>
          </w:tcPr>
          <w:p w:rsidR="00DC59FD" w:rsidRDefault="00DC59FD" w:rsidP="006431C4">
            <w:pPr>
              <w:spacing w:line="360" w:lineRule="auto"/>
              <w:rPr>
                <w:rFonts w:ascii="宋体" w:eastAsia="宋体" w:hAnsi="宋体"/>
                <w:sz w:val="28"/>
                <w:szCs w:val="28"/>
              </w:rPr>
            </w:pPr>
            <w:r>
              <w:rPr>
                <w:rFonts w:ascii="宋体" w:eastAsia="宋体" w:hAnsi="宋体" w:hint="eastAsia"/>
                <w:sz w:val="28"/>
                <w:szCs w:val="28"/>
              </w:rPr>
              <w:t>机械参数</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组件尺寸</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200*600*9.7</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重量</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sz w:val="28"/>
                <w:szCs w:val="28"/>
              </w:rPr>
              <w:t>6.8kg</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面积</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0</w:t>
            </w:r>
            <w:r>
              <w:rPr>
                <w:rFonts w:ascii="宋体" w:eastAsia="宋体" w:hAnsi="宋体"/>
                <w:sz w:val="28"/>
                <w:szCs w:val="28"/>
              </w:rPr>
              <w:t>.72</w:t>
            </w:r>
            <w:r>
              <w:rPr>
                <w:rFonts w:ascii="宋体" w:eastAsia="宋体" w:hAnsi="宋体" w:hint="eastAsia"/>
                <w:sz w:val="28"/>
                <w:szCs w:val="28"/>
              </w:rPr>
              <w:t>㎡</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前板</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3</w:t>
            </w:r>
            <w:r>
              <w:rPr>
                <w:rFonts w:ascii="宋体" w:eastAsia="宋体" w:hAnsi="宋体"/>
                <w:sz w:val="28"/>
                <w:szCs w:val="28"/>
              </w:rPr>
              <w:t>.2</w:t>
            </w:r>
            <w:r>
              <w:rPr>
                <w:rFonts w:ascii="宋体" w:eastAsia="宋体" w:hAnsi="宋体" w:hint="eastAsia"/>
                <w:sz w:val="28"/>
                <w:szCs w:val="28"/>
              </w:rPr>
              <w:t>mm透明导电玻璃</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背板</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6mm半钢化/钢化玻璃</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接线盒类型</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背面</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接线盒等级</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I</w:t>
            </w:r>
            <w:r>
              <w:rPr>
                <w:rFonts w:ascii="宋体" w:eastAsia="宋体" w:hAnsi="宋体"/>
                <w:sz w:val="28"/>
                <w:szCs w:val="28"/>
              </w:rPr>
              <w:t>P67</w:t>
            </w:r>
          </w:p>
        </w:tc>
      </w:tr>
      <w:tr w:rsidR="00C16639" w:rsidTr="00EA1D5F">
        <w:tc>
          <w:tcPr>
            <w:tcW w:w="4148" w:type="dxa"/>
          </w:tcPr>
          <w:p w:rsidR="00C16639" w:rsidRDefault="00C16639" w:rsidP="006431C4">
            <w:pPr>
              <w:spacing w:line="360" w:lineRule="auto"/>
              <w:rPr>
                <w:rFonts w:ascii="宋体" w:eastAsia="宋体" w:hAnsi="宋体"/>
                <w:sz w:val="28"/>
                <w:szCs w:val="28"/>
              </w:rPr>
            </w:pPr>
            <w:r>
              <w:rPr>
                <w:rFonts w:ascii="宋体" w:eastAsia="宋体" w:hAnsi="宋体" w:hint="eastAsia"/>
                <w:sz w:val="28"/>
                <w:szCs w:val="28"/>
              </w:rPr>
              <w:t>夹胶材料</w:t>
            </w:r>
          </w:p>
        </w:tc>
        <w:tc>
          <w:tcPr>
            <w:tcW w:w="4148" w:type="dxa"/>
          </w:tcPr>
          <w:p w:rsidR="00C16639" w:rsidRDefault="00DC59FD" w:rsidP="006431C4">
            <w:pPr>
              <w:spacing w:line="360" w:lineRule="auto"/>
              <w:rPr>
                <w:rFonts w:ascii="宋体" w:eastAsia="宋体" w:hAnsi="宋体"/>
                <w:sz w:val="28"/>
                <w:szCs w:val="28"/>
              </w:rPr>
            </w:pPr>
            <w:r>
              <w:rPr>
                <w:rFonts w:ascii="宋体" w:eastAsia="宋体" w:hAnsi="宋体" w:hint="eastAsia"/>
                <w:sz w:val="28"/>
                <w:szCs w:val="28"/>
              </w:rPr>
              <w:t>P</w:t>
            </w:r>
            <w:r>
              <w:rPr>
                <w:rFonts w:ascii="宋体" w:eastAsia="宋体" w:hAnsi="宋体"/>
                <w:sz w:val="28"/>
                <w:szCs w:val="28"/>
              </w:rPr>
              <w:t>VB</w:t>
            </w:r>
          </w:p>
        </w:tc>
      </w:tr>
    </w:tbl>
    <w:p w:rsidR="00DC59FD" w:rsidRDefault="00DC59FD" w:rsidP="00DC59FD">
      <w:pPr>
        <w:rPr>
          <w:rFonts w:ascii="宋体" w:eastAsia="宋体" w:hAnsi="宋体"/>
          <w:b/>
          <w:sz w:val="28"/>
          <w:szCs w:val="28"/>
        </w:rPr>
      </w:pPr>
      <w:r>
        <w:rPr>
          <w:rFonts w:ascii="宋体" w:eastAsia="宋体" w:hAnsi="宋体" w:hint="eastAsia"/>
          <w:b/>
          <w:sz w:val="28"/>
          <w:szCs w:val="28"/>
        </w:rPr>
        <w:t>三</w:t>
      </w:r>
      <w:r w:rsidRPr="007C16A8">
        <w:rPr>
          <w:rFonts w:ascii="宋体" w:eastAsia="宋体" w:hAnsi="宋体" w:hint="eastAsia"/>
          <w:b/>
          <w:sz w:val="28"/>
          <w:szCs w:val="28"/>
        </w:rPr>
        <w:t>、</w:t>
      </w:r>
      <w:r>
        <w:rPr>
          <w:rFonts w:ascii="宋体" w:eastAsia="宋体" w:hAnsi="宋体" w:hint="eastAsia"/>
          <w:b/>
          <w:sz w:val="28"/>
          <w:szCs w:val="28"/>
        </w:rPr>
        <w:t>电气设计</w:t>
      </w:r>
    </w:p>
    <w:p w:rsidR="00DC59FD" w:rsidRPr="00DC59FD" w:rsidRDefault="00DC59FD" w:rsidP="00DC59FD">
      <w:pPr>
        <w:spacing w:line="360" w:lineRule="auto"/>
        <w:ind w:firstLineChars="200" w:firstLine="560"/>
        <w:rPr>
          <w:rFonts w:ascii="宋体" w:eastAsia="宋体" w:hAnsi="宋体"/>
          <w:sz w:val="28"/>
          <w:szCs w:val="28"/>
        </w:rPr>
      </w:pPr>
      <w:bookmarkStart w:id="1" w:name="_Toc516591249"/>
      <w:r>
        <w:rPr>
          <w:rFonts w:ascii="宋体" w:eastAsia="宋体" w:hAnsi="宋体" w:hint="eastAsia"/>
          <w:sz w:val="28"/>
          <w:szCs w:val="28"/>
        </w:rPr>
        <w:t>1</w:t>
      </w:r>
      <w:r>
        <w:rPr>
          <w:rFonts w:ascii="宋体" w:eastAsia="宋体" w:hAnsi="宋体"/>
          <w:sz w:val="28"/>
          <w:szCs w:val="28"/>
        </w:rPr>
        <w:t>.</w:t>
      </w:r>
      <w:r w:rsidRPr="00DC59FD">
        <w:rPr>
          <w:rFonts w:ascii="宋体" w:eastAsia="宋体" w:hAnsi="宋体" w:hint="eastAsia"/>
          <w:sz w:val="28"/>
          <w:szCs w:val="28"/>
        </w:rPr>
        <w:t>光伏组件串联设计</w:t>
      </w:r>
      <w:bookmarkEnd w:id="1"/>
    </w:p>
    <w:p w:rsidR="00DC59FD" w:rsidRPr="00DC59FD" w:rsidRDefault="00DC59FD" w:rsidP="00DC59FD">
      <w:pPr>
        <w:spacing w:line="360" w:lineRule="auto"/>
        <w:ind w:firstLineChars="200" w:firstLine="560"/>
        <w:rPr>
          <w:rFonts w:ascii="宋体" w:eastAsia="宋体" w:hAnsi="宋体"/>
          <w:sz w:val="28"/>
          <w:szCs w:val="28"/>
        </w:rPr>
      </w:pPr>
      <w:r w:rsidRPr="00DC59FD">
        <w:rPr>
          <w:rFonts w:ascii="宋体" w:eastAsia="宋体" w:hAnsi="宋体"/>
          <w:sz w:val="28"/>
          <w:szCs w:val="28"/>
        </w:rPr>
        <w:t>光伏组件的I-V曲线显示，电池工作温度主要影响电池运行电压，太阳辐照度主要影响电池运行电流。因此，主要考虑在电池工作温度范围内，光伏组件多片串联后，其接线端的运行电压处于逆变器最大功率跟踪(MPPT)范围(200V-1000V)内，开路电压处于逆变器最大电压输入范围(&lt;1100V)。根据光伏组件开路电压、标称工作电压，光伏组件电压温度系数，计算</w:t>
      </w:r>
      <w:r w:rsidRPr="00DC59FD">
        <w:rPr>
          <w:rFonts w:ascii="宋体" w:eastAsia="宋体" w:hAnsi="宋体" w:hint="eastAsia"/>
          <w:sz w:val="28"/>
          <w:szCs w:val="28"/>
        </w:rPr>
        <w:t>光伏组件串联数量</w:t>
      </w:r>
      <w:r w:rsidRPr="00DC59FD">
        <w:rPr>
          <w:rFonts w:ascii="宋体" w:eastAsia="宋体" w:hAnsi="宋体"/>
          <w:sz w:val="28"/>
          <w:szCs w:val="28"/>
        </w:rPr>
        <w:t>组串数量N</w:t>
      </w:r>
      <w:r w:rsidRPr="00DC59FD">
        <w:rPr>
          <w:rFonts w:ascii="宋体" w:eastAsia="宋体" w:hAnsi="宋体" w:hint="eastAsia"/>
          <w:sz w:val="28"/>
          <w:szCs w:val="28"/>
        </w:rPr>
        <w:t>如下表:</w:t>
      </w:r>
    </w:p>
    <w:p w:rsidR="00DC59FD" w:rsidRPr="00800F3F" w:rsidRDefault="00DC59FD" w:rsidP="00DC59FD">
      <w:pPr>
        <w:pStyle w:val="a6"/>
        <w:ind w:firstLine="480"/>
        <w:jc w:val="center"/>
        <w:rPr>
          <w:rFonts w:eastAsiaTheme="minorEastAsia"/>
        </w:rPr>
      </w:pPr>
    </w:p>
    <w:tbl>
      <w:tblPr>
        <w:tblW w:w="7909" w:type="dxa"/>
        <w:jc w:val="center"/>
        <w:tblLook w:val="04A0" w:firstRow="1" w:lastRow="0" w:firstColumn="1" w:lastColumn="0" w:noHBand="0" w:noVBand="1"/>
      </w:tblPr>
      <w:tblGrid>
        <w:gridCol w:w="1959"/>
        <w:gridCol w:w="2975"/>
        <w:gridCol w:w="2975"/>
      </w:tblGrid>
      <w:tr w:rsidR="00DC59FD" w:rsidRPr="001F13ED" w:rsidTr="007B30A2">
        <w:trPr>
          <w:trHeight w:val="315"/>
          <w:jc w:val="center"/>
        </w:trPr>
        <w:tc>
          <w:tcPr>
            <w:tcW w:w="1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序号</w:t>
            </w:r>
          </w:p>
        </w:tc>
        <w:tc>
          <w:tcPr>
            <w:tcW w:w="2975" w:type="dxa"/>
            <w:tcBorders>
              <w:top w:val="single" w:sz="4" w:space="0" w:color="auto"/>
              <w:left w:val="nil"/>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组件类型</w:t>
            </w:r>
          </w:p>
        </w:tc>
        <w:tc>
          <w:tcPr>
            <w:tcW w:w="2975" w:type="dxa"/>
            <w:tcBorders>
              <w:top w:val="single" w:sz="4" w:space="0" w:color="auto"/>
              <w:left w:val="nil"/>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串联数量</w:t>
            </w:r>
          </w:p>
        </w:tc>
      </w:tr>
      <w:tr w:rsidR="00DC59FD" w:rsidRPr="001F13ED" w:rsidTr="007B30A2">
        <w:trPr>
          <w:trHeight w:val="315"/>
          <w:jc w:val="center"/>
        </w:trPr>
        <w:tc>
          <w:tcPr>
            <w:tcW w:w="1959" w:type="dxa"/>
            <w:tcBorders>
              <w:top w:val="nil"/>
              <w:left w:val="single" w:sz="4" w:space="0" w:color="auto"/>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1</w:t>
            </w:r>
          </w:p>
        </w:tc>
        <w:tc>
          <w:tcPr>
            <w:tcW w:w="2975" w:type="dxa"/>
            <w:tcBorders>
              <w:top w:val="nil"/>
              <w:left w:val="nil"/>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薄膜组件</w:t>
            </w:r>
          </w:p>
        </w:tc>
        <w:tc>
          <w:tcPr>
            <w:tcW w:w="2975" w:type="dxa"/>
            <w:tcBorders>
              <w:top w:val="nil"/>
              <w:left w:val="nil"/>
              <w:bottom w:val="single" w:sz="4" w:space="0" w:color="auto"/>
              <w:right w:val="single" w:sz="4" w:space="0" w:color="auto"/>
            </w:tcBorders>
            <w:shd w:val="clear" w:color="auto" w:fill="auto"/>
            <w:noWrap/>
            <w:vAlign w:val="center"/>
            <w:hideMark/>
          </w:tcPr>
          <w:p w:rsidR="00DC59FD" w:rsidRPr="001F13ED" w:rsidRDefault="00DC59FD" w:rsidP="007B30A2">
            <w:pPr>
              <w:widowControl/>
              <w:jc w:val="center"/>
              <w:rPr>
                <w:rFonts w:ascii="宋体" w:hAnsi="宋体" w:cs="宋体"/>
                <w:color w:val="000000"/>
                <w:kern w:val="0"/>
                <w:sz w:val="22"/>
              </w:rPr>
            </w:pPr>
            <w:r w:rsidRPr="001F13ED">
              <w:rPr>
                <w:rFonts w:ascii="宋体" w:hAnsi="宋体" w:cs="宋体" w:hint="eastAsia"/>
                <w:color w:val="000000"/>
                <w:kern w:val="0"/>
                <w:sz w:val="22"/>
              </w:rPr>
              <w:t>3-11</w:t>
            </w:r>
            <w:r w:rsidRPr="001F13ED">
              <w:rPr>
                <w:rFonts w:ascii="宋体" w:hAnsi="宋体" w:cs="宋体" w:hint="eastAsia"/>
                <w:color w:val="000000"/>
                <w:kern w:val="0"/>
                <w:sz w:val="22"/>
              </w:rPr>
              <w:t>个</w:t>
            </w:r>
          </w:p>
        </w:tc>
      </w:tr>
    </w:tbl>
    <w:p w:rsidR="00DC59FD" w:rsidRDefault="00DC59FD" w:rsidP="00DC59FD">
      <w:pPr>
        <w:adjustRightInd w:val="0"/>
        <w:snapToGrid w:val="0"/>
        <w:spacing w:line="480" w:lineRule="atLeast"/>
        <w:ind w:firstLineChars="200" w:firstLine="480"/>
        <w:rPr>
          <w:rFonts w:asciiTheme="minorEastAsia" w:hAnsiTheme="minorEastAsia"/>
          <w:sz w:val="24"/>
        </w:rPr>
      </w:pPr>
    </w:p>
    <w:p w:rsidR="00DC59FD" w:rsidRDefault="00DC59FD" w:rsidP="00DC59FD">
      <w:pPr>
        <w:adjustRightInd w:val="0"/>
        <w:snapToGrid w:val="0"/>
        <w:spacing w:line="480" w:lineRule="atLeast"/>
        <w:jc w:val="center"/>
        <w:rPr>
          <w:rFonts w:asciiTheme="minorEastAsia" w:hAnsiTheme="minorEastAsia"/>
          <w:sz w:val="24"/>
        </w:rPr>
      </w:pPr>
      <w:r>
        <w:rPr>
          <w:rFonts w:asciiTheme="minorEastAsia" w:hAnsiTheme="minorEastAsia" w:hint="eastAsia"/>
          <w:noProof/>
          <w:sz w:val="24"/>
        </w:rPr>
        <w:drawing>
          <wp:inline distT="0" distB="0" distL="0" distR="0" wp14:anchorId="5E72A149" wp14:editId="6EA2645A">
            <wp:extent cx="5400675" cy="302604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4334C.tmp"/>
                    <pic:cNvPicPr/>
                  </pic:nvPicPr>
                  <pic:blipFill>
                    <a:blip r:embed="rId10">
                      <a:extLst>
                        <a:ext uri="{28A0092B-C50C-407E-A947-70E740481C1C}">
                          <a14:useLocalDpi xmlns:a14="http://schemas.microsoft.com/office/drawing/2010/main" val="0"/>
                        </a:ext>
                      </a:extLst>
                    </a:blip>
                    <a:stretch>
                      <a:fillRect/>
                    </a:stretch>
                  </pic:blipFill>
                  <pic:spPr>
                    <a:xfrm>
                      <a:off x="0" y="0"/>
                      <a:ext cx="5408987" cy="3030702"/>
                    </a:xfrm>
                    <a:prstGeom prst="rect">
                      <a:avLst/>
                    </a:prstGeom>
                  </pic:spPr>
                </pic:pic>
              </a:graphicData>
            </a:graphic>
          </wp:inline>
        </w:drawing>
      </w:r>
    </w:p>
    <w:p w:rsidR="00DC59FD" w:rsidRPr="001F13ED" w:rsidRDefault="00DC59FD" w:rsidP="00DC59FD">
      <w:pPr>
        <w:adjustRightInd w:val="0"/>
        <w:snapToGrid w:val="0"/>
        <w:spacing w:line="480" w:lineRule="atLeast"/>
        <w:jc w:val="center"/>
        <w:rPr>
          <w:rFonts w:asciiTheme="minorEastAsia" w:hAnsiTheme="minorEastAsia"/>
          <w:sz w:val="24"/>
        </w:rPr>
      </w:pPr>
      <w:r>
        <w:rPr>
          <w:rFonts w:asciiTheme="minorEastAsia" w:hAnsiTheme="minorEastAsia" w:hint="eastAsia"/>
          <w:sz w:val="24"/>
        </w:rPr>
        <w:t xml:space="preserve">图 </w:t>
      </w:r>
      <w:r>
        <w:rPr>
          <w:rFonts w:asciiTheme="minorEastAsia" w:hAnsiTheme="minorEastAsia"/>
          <w:sz w:val="24"/>
        </w:rPr>
        <w:t>4</w:t>
      </w:r>
      <w:r>
        <w:rPr>
          <w:rFonts w:asciiTheme="minorEastAsia" w:hAnsiTheme="minorEastAsia" w:hint="eastAsia"/>
          <w:sz w:val="24"/>
        </w:rPr>
        <w:t>-</w:t>
      </w:r>
      <w:r>
        <w:rPr>
          <w:rFonts w:asciiTheme="minorEastAsia" w:hAnsiTheme="minorEastAsia"/>
          <w:sz w:val="24"/>
        </w:rPr>
        <w:t>1</w:t>
      </w:r>
      <w:r>
        <w:rPr>
          <w:rFonts w:asciiTheme="minorEastAsia" w:hAnsiTheme="minorEastAsia" w:hint="eastAsia"/>
          <w:sz w:val="24"/>
        </w:rPr>
        <w:t>逆变器效率曲线</w:t>
      </w:r>
    </w:p>
    <w:p w:rsidR="00DC59FD" w:rsidRPr="002B5853" w:rsidRDefault="00DC59FD"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结合逆变器效率曲线及光伏组件最大功率点电压考虑，薄膜光伏组件串联数量确定为</w:t>
      </w:r>
      <w:r w:rsidR="002B5853" w:rsidRPr="002B5853">
        <w:rPr>
          <w:rFonts w:ascii="宋体" w:eastAsia="宋体" w:hAnsi="宋体"/>
          <w:sz w:val="28"/>
          <w:szCs w:val="28"/>
        </w:rPr>
        <w:t>6</w:t>
      </w:r>
      <w:r w:rsidRPr="002B5853">
        <w:rPr>
          <w:rFonts w:ascii="宋体" w:eastAsia="宋体" w:hAnsi="宋体" w:hint="eastAsia"/>
          <w:sz w:val="28"/>
          <w:szCs w:val="28"/>
        </w:rPr>
        <w:t>块，逆变器获得最大运行效率。另外，考虑到薄膜光伏组件工作电流较小，因此，在薄膜光伏组串接入组串型逆变器之前需要进行汇流，逆变器单路最大输入电流为12A，薄膜组件单串电流为1.</w:t>
      </w:r>
      <w:r w:rsidRPr="002B5853">
        <w:rPr>
          <w:rFonts w:ascii="宋体" w:eastAsia="宋体" w:hAnsi="宋体"/>
          <w:sz w:val="28"/>
          <w:szCs w:val="28"/>
        </w:rPr>
        <w:t>24</w:t>
      </w:r>
      <w:r w:rsidRPr="002B5853">
        <w:rPr>
          <w:rFonts w:ascii="宋体" w:eastAsia="宋体" w:hAnsi="宋体" w:hint="eastAsia"/>
          <w:sz w:val="28"/>
          <w:szCs w:val="28"/>
        </w:rPr>
        <w:t>A,因此确定薄膜光伏组件以</w:t>
      </w:r>
      <w:r w:rsidR="002B5853" w:rsidRPr="002B5853">
        <w:rPr>
          <w:rFonts w:ascii="宋体" w:eastAsia="宋体" w:hAnsi="宋体"/>
          <w:sz w:val="28"/>
          <w:szCs w:val="28"/>
        </w:rPr>
        <w:t>8</w:t>
      </w:r>
      <w:r w:rsidRPr="002B5853">
        <w:rPr>
          <w:rFonts w:ascii="宋体" w:eastAsia="宋体" w:hAnsi="宋体" w:hint="eastAsia"/>
          <w:sz w:val="28"/>
          <w:szCs w:val="28"/>
        </w:rPr>
        <w:t>串汇流后接入一路逆变器直流输入当中，即薄膜组件一路输入为48*</w:t>
      </w:r>
      <w:r w:rsidRPr="002B5853">
        <w:rPr>
          <w:rFonts w:ascii="宋体" w:eastAsia="宋体" w:hAnsi="宋体"/>
          <w:sz w:val="28"/>
          <w:szCs w:val="28"/>
        </w:rPr>
        <w:t>105</w:t>
      </w:r>
      <w:r w:rsidRPr="002B5853">
        <w:rPr>
          <w:rFonts w:ascii="宋体" w:eastAsia="宋体" w:hAnsi="宋体" w:hint="eastAsia"/>
          <w:sz w:val="28"/>
          <w:szCs w:val="28"/>
        </w:rPr>
        <w:t>W</w:t>
      </w:r>
      <w:r w:rsidRPr="002B5853">
        <w:rPr>
          <w:rFonts w:ascii="宋体" w:eastAsia="宋体" w:hAnsi="宋体"/>
          <w:sz w:val="28"/>
          <w:szCs w:val="28"/>
        </w:rPr>
        <w:t>p</w:t>
      </w:r>
      <w:r w:rsidRPr="002B5853">
        <w:rPr>
          <w:rFonts w:ascii="宋体" w:eastAsia="宋体" w:hAnsi="宋体" w:hint="eastAsia"/>
          <w:sz w:val="28"/>
          <w:szCs w:val="28"/>
        </w:rPr>
        <w:t>=</w:t>
      </w:r>
      <w:r w:rsidRPr="002B5853">
        <w:rPr>
          <w:rFonts w:ascii="宋体" w:eastAsia="宋体" w:hAnsi="宋体"/>
          <w:sz w:val="28"/>
          <w:szCs w:val="28"/>
        </w:rPr>
        <w:t>5</w:t>
      </w:r>
      <w:r w:rsidR="002B5853" w:rsidRPr="002B5853">
        <w:rPr>
          <w:rFonts w:ascii="宋体" w:eastAsia="宋体" w:hAnsi="宋体"/>
          <w:sz w:val="28"/>
          <w:szCs w:val="28"/>
        </w:rPr>
        <w:t>04</w:t>
      </w:r>
      <w:r w:rsidRPr="002B5853">
        <w:rPr>
          <w:rFonts w:ascii="宋体" w:eastAsia="宋体" w:hAnsi="宋体"/>
          <w:sz w:val="28"/>
          <w:szCs w:val="28"/>
        </w:rPr>
        <w:t>0</w:t>
      </w:r>
      <w:r w:rsidRPr="002B5853">
        <w:rPr>
          <w:rFonts w:ascii="宋体" w:eastAsia="宋体" w:hAnsi="宋体" w:hint="eastAsia"/>
          <w:sz w:val="28"/>
          <w:szCs w:val="28"/>
        </w:rPr>
        <w:t>W</w:t>
      </w:r>
      <w:r w:rsidRPr="002B5853">
        <w:rPr>
          <w:rFonts w:ascii="宋体" w:eastAsia="宋体" w:hAnsi="宋体"/>
          <w:sz w:val="28"/>
          <w:szCs w:val="28"/>
        </w:rPr>
        <w:t>p</w:t>
      </w:r>
      <w:r w:rsidRPr="002B5853">
        <w:rPr>
          <w:rFonts w:ascii="宋体" w:eastAsia="宋体" w:hAnsi="宋体" w:hint="eastAsia"/>
          <w:sz w:val="28"/>
          <w:szCs w:val="28"/>
        </w:rPr>
        <w:t>。</w:t>
      </w:r>
    </w:p>
    <w:p w:rsidR="006431C4" w:rsidRDefault="002B5853" w:rsidP="002B5853">
      <w:pPr>
        <w:spacing w:line="360" w:lineRule="auto"/>
        <w:ind w:firstLineChars="200" w:firstLine="560"/>
        <w:rPr>
          <w:rFonts w:ascii="宋体" w:eastAsia="宋体" w:hAnsi="宋体"/>
          <w:sz w:val="28"/>
          <w:szCs w:val="28"/>
        </w:rPr>
      </w:pPr>
      <w:r>
        <w:rPr>
          <w:rFonts w:ascii="宋体" w:eastAsia="宋体" w:hAnsi="宋体" w:hint="eastAsia"/>
          <w:sz w:val="28"/>
          <w:szCs w:val="28"/>
        </w:rPr>
        <w:t>2</w:t>
      </w:r>
      <w:r>
        <w:rPr>
          <w:rFonts w:ascii="宋体" w:eastAsia="宋体" w:hAnsi="宋体"/>
          <w:sz w:val="28"/>
          <w:szCs w:val="28"/>
        </w:rPr>
        <w:t>.</w:t>
      </w:r>
      <w:r>
        <w:rPr>
          <w:rFonts w:ascii="宋体" w:eastAsia="宋体" w:hAnsi="宋体" w:hint="eastAsia"/>
          <w:sz w:val="28"/>
          <w:szCs w:val="28"/>
        </w:rPr>
        <w:t>接入系统设计</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接入系统参照国家电网《分布式光伏发电系统典型设计》，拟采用XGF380-Z-1方案，即采用1回线路将光伏系统接入用户配电箱，单点接入容量不大于</w:t>
      </w:r>
      <w:r>
        <w:rPr>
          <w:rFonts w:ascii="宋体" w:eastAsia="宋体" w:hAnsi="宋体"/>
          <w:sz w:val="28"/>
          <w:szCs w:val="28"/>
        </w:rPr>
        <w:t>1</w:t>
      </w:r>
      <w:r w:rsidRPr="002B5853">
        <w:rPr>
          <w:rFonts w:ascii="宋体" w:eastAsia="宋体" w:hAnsi="宋体" w:hint="eastAsia"/>
          <w:sz w:val="28"/>
          <w:szCs w:val="28"/>
        </w:rPr>
        <w:t>00k</w:t>
      </w:r>
      <w:r w:rsidRPr="002B5853">
        <w:rPr>
          <w:rFonts w:ascii="宋体" w:eastAsia="宋体" w:hAnsi="宋体"/>
          <w:sz w:val="28"/>
          <w:szCs w:val="28"/>
        </w:rPr>
        <w:t>W</w:t>
      </w:r>
      <w:r w:rsidRPr="002B5853">
        <w:rPr>
          <w:rFonts w:ascii="宋体" w:eastAsia="宋体" w:hAnsi="宋体" w:hint="eastAsia"/>
          <w:sz w:val="28"/>
          <w:szCs w:val="28"/>
        </w:rPr>
        <w:t>。</w:t>
      </w:r>
    </w:p>
    <w:p w:rsidR="002B5853" w:rsidRPr="00E41E2B" w:rsidRDefault="002B5853" w:rsidP="002B5853">
      <w:pPr>
        <w:adjustRightInd w:val="0"/>
        <w:snapToGrid w:val="0"/>
        <w:spacing w:line="480" w:lineRule="atLeast"/>
        <w:jc w:val="center"/>
        <w:rPr>
          <w:sz w:val="24"/>
        </w:rPr>
      </w:pPr>
      <w:r>
        <w:rPr>
          <w:rFonts w:hint="eastAsia"/>
          <w:noProof/>
          <w:sz w:val="24"/>
        </w:rPr>
        <w:lastRenderedPageBreak/>
        <w:drawing>
          <wp:inline distT="0" distB="0" distL="0" distR="0" wp14:anchorId="6BD3C616" wp14:editId="3663213F">
            <wp:extent cx="5759450" cy="31584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742861.tmp"/>
                    <pic:cNvPicPr/>
                  </pic:nvPicPr>
                  <pic:blipFill>
                    <a:blip r:embed="rId11">
                      <a:extLst>
                        <a:ext uri="{28A0092B-C50C-407E-A947-70E740481C1C}">
                          <a14:useLocalDpi xmlns:a14="http://schemas.microsoft.com/office/drawing/2010/main" val="0"/>
                        </a:ext>
                      </a:extLst>
                    </a:blip>
                    <a:stretch>
                      <a:fillRect/>
                    </a:stretch>
                  </pic:blipFill>
                  <pic:spPr>
                    <a:xfrm>
                      <a:off x="0" y="0"/>
                      <a:ext cx="5759450" cy="3158490"/>
                    </a:xfrm>
                    <a:prstGeom prst="rect">
                      <a:avLst/>
                    </a:prstGeom>
                  </pic:spPr>
                </pic:pic>
              </a:graphicData>
            </a:graphic>
          </wp:inline>
        </w:drawing>
      </w:r>
    </w:p>
    <w:p w:rsidR="002B5853" w:rsidRPr="002B5853" w:rsidRDefault="002B5853" w:rsidP="002B5853">
      <w:pPr>
        <w:rPr>
          <w:rFonts w:ascii="宋体" w:eastAsia="宋体" w:hAnsi="宋体"/>
          <w:b/>
          <w:sz w:val="28"/>
          <w:szCs w:val="28"/>
        </w:rPr>
      </w:pPr>
      <w:bookmarkStart w:id="2" w:name="_Toc516591255"/>
      <w:r>
        <w:rPr>
          <w:rFonts w:ascii="宋体" w:eastAsia="宋体" w:hAnsi="宋体" w:hint="eastAsia"/>
          <w:b/>
          <w:sz w:val="28"/>
          <w:szCs w:val="28"/>
        </w:rPr>
        <w:t>四、</w:t>
      </w:r>
      <w:r w:rsidRPr="002B5853">
        <w:rPr>
          <w:rFonts w:ascii="宋体" w:eastAsia="宋体" w:hAnsi="宋体"/>
          <w:b/>
          <w:sz w:val="28"/>
          <w:szCs w:val="28"/>
        </w:rPr>
        <w:t>电缆选型及敷设</w:t>
      </w:r>
      <w:bookmarkEnd w:id="2"/>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sz w:val="28"/>
          <w:szCs w:val="28"/>
        </w:rPr>
        <w:t>根据《电力工程电缆设计规程》GB 50217-2007有关条款规定，本工程电缆选型如下：</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一级汇流电缆</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光伏组件至组串式逆变器的</w:t>
      </w:r>
      <w:r w:rsidRPr="002B5853">
        <w:rPr>
          <w:rFonts w:ascii="宋体" w:eastAsia="宋体" w:hAnsi="宋体"/>
          <w:sz w:val="28"/>
          <w:szCs w:val="28"/>
        </w:rPr>
        <w:t>直流电缆采用太阳能专用电缆（</w:t>
      </w:r>
      <w:r w:rsidRPr="002B5853">
        <w:rPr>
          <w:rFonts w:ascii="宋体" w:eastAsia="宋体" w:hAnsi="宋体" w:hint="eastAsia"/>
          <w:sz w:val="28"/>
          <w:szCs w:val="28"/>
        </w:rPr>
        <w:t>单</w:t>
      </w:r>
      <w:r w:rsidRPr="002B5853">
        <w:rPr>
          <w:rFonts w:ascii="宋体" w:eastAsia="宋体" w:hAnsi="宋体"/>
          <w:sz w:val="28"/>
          <w:szCs w:val="28"/>
        </w:rPr>
        <w:t>芯），在太阳电池背面钢构架檩条槽内敷设，框架至屋面的部分采用电缆保护管敷设</w:t>
      </w:r>
      <w:r w:rsidRPr="002B5853">
        <w:rPr>
          <w:rFonts w:ascii="宋体" w:eastAsia="宋体" w:hAnsi="宋体" w:hint="eastAsia"/>
          <w:sz w:val="28"/>
          <w:szCs w:val="28"/>
        </w:rPr>
        <w:t>，逆变器出线采用电缆桥架敷设的方式至交流汇流箱</w:t>
      </w:r>
      <w:r w:rsidRPr="002B5853">
        <w:rPr>
          <w:rFonts w:ascii="宋体" w:eastAsia="宋体" w:hAnsi="宋体"/>
          <w:sz w:val="28"/>
          <w:szCs w:val="28"/>
        </w:rPr>
        <w:t>。</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二级汇流电缆</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交流汇流箱至变压器低压侧的</w:t>
      </w:r>
      <w:r w:rsidRPr="002B5853">
        <w:rPr>
          <w:rFonts w:ascii="宋体" w:eastAsia="宋体" w:hAnsi="宋体"/>
          <w:sz w:val="28"/>
          <w:szCs w:val="28"/>
        </w:rPr>
        <w:t>电缆采用</w:t>
      </w:r>
      <w:r w:rsidRPr="002B5853">
        <w:rPr>
          <w:rFonts w:ascii="宋体" w:eastAsia="宋体" w:hAnsi="宋体" w:hint="eastAsia"/>
          <w:sz w:val="28"/>
          <w:szCs w:val="28"/>
        </w:rPr>
        <w:t>交联</w:t>
      </w:r>
      <w:r w:rsidRPr="002B5853">
        <w:rPr>
          <w:rFonts w:ascii="宋体" w:eastAsia="宋体" w:hAnsi="宋体"/>
          <w:sz w:val="28"/>
          <w:szCs w:val="28"/>
        </w:rPr>
        <w:t>聚乙烯绝缘聚氯乙烯护套电缆，采用</w:t>
      </w:r>
      <w:r w:rsidRPr="002B5853">
        <w:rPr>
          <w:rFonts w:ascii="宋体" w:eastAsia="宋体" w:hAnsi="宋体" w:hint="eastAsia"/>
          <w:sz w:val="28"/>
          <w:szCs w:val="28"/>
        </w:rPr>
        <w:t>电缆桥架</w:t>
      </w:r>
      <w:r w:rsidRPr="002B5853">
        <w:rPr>
          <w:rFonts w:ascii="宋体" w:eastAsia="宋体" w:hAnsi="宋体"/>
          <w:sz w:val="28"/>
          <w:szCs w:val="28"/>
        </w:rPr>
        <w:t>敷设方式。</w:t>
      </w:r>
    </w:p>
    <w:p w:rsidR="002B5853" w:rsidRDefault="002B5853" w:rsidP="002B5853">
      <w:pPr>
        <w:rPr>
          <w:rFonts w:ascii="宋体" w:eastAsia="宋体" w:hAnsi="宋体"/>
          <w:b/>
          <w:sz w:val="28"/>
          <w:szCs w:val="28"/>
        </w:rPr>
      </w:pPr>
      <w:r>
        <w:rPr>
          <w:rFonts w:ascii="宋体" w:eastAsia="宋体" w:hAnsi="宋体" w:hint="eastAsia"/>
          <w:b/>
          <w:sz w:val="28"/>
          <w:szCs w:val="28"/>
        </w:rPr>
        <w:t>五、</w:t>
      </w:r>
      <w:r w:rsidRPr="002B5853">
        <w:rPr>
          <w:rFonts w:ascii="宋体" w:eastAsia="宋体" w:hAnsi="宋体" w:hint="eastAsia"/>
          <w:b/>
          <w:sz w:val="28"/>
          <w:szCs w:val="28"/>
        </w:rPr>
        <w:t>发电量估算</w:t>
      </w:r>
    </w:p>
    <w:p w:rsidR="002B5853" w:rsidRP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根据太阳辐射量、温度等气象资料以及地理位置信息等资料, 专用的光伏发电系统设计软件可以进行仿真计算,求出系统的年总发电量。这里仅根据有关气象资料预测并网光伏发电系统的年总发电量，</w:t>
      </w:r>
      <w:r w:rsidRPr="002B5853">
        <w:rPr>
          <w:rFonts w:ascii="宋体" w:eastAsia="宋体" w:hAnsi="宋体" w:hint="eastAsia"/>
          <w:sz w:val="28"/>
          <w:szCs w:val="28"/>
        </w:rPr>
        <w:lastRenderedPageBreak/>
        <w:t>实际发电量会有一定偏差这是正常现象。</w:t>
      </w:r>
    </w:p>
    <w:p w:rsidR="002B5853" w:rsidRDefault="002B5853" w:rsidP="002B5853">
      <w:pPr>
        <w:spacing w:line="360" w:lineRule="auto"/>
        <w:ind w:firstLineChars="200" w:firstLine="560"/>
        <w:rPr>
          <w:rFonts w:ascii="宋体" w:eastAsia="宋体" w:hAnsi="宋体"/>
          <w:sz w:val="28"/>
          <w:szCs w:val="28"/>
        </w:rPr>
      </w:pPr>
      <w:r w:rsidRPr="002B5853">
        <w:rPr>
          <w:rFonts w:ascii="宋体" w:eastAsia="宋体" w:hAnsi="宋体" w:hint="eastAsia"/>
          <w:sz w:val="28"/>
          <w:szCs w:val="28"/>
        </w:rPr>
        <w:t>由于不同倾角、方位角倾斜面上的接收到的辐射量不同，因此，计算发电量时应根据不同倾斜面上光伏装机容量进行加成。如</w:t>
      </w:r>
      <w:r>
        <w:rPr>
          <w:rFonts w:ascii="宋体" w:eastAsia="宋体" w:hAnsi="宋体" w:hint="eastAsia"/>
          <w:sz w:val="28"/>
          <w:szCs w:val="28"/>
        </w:rPr>
        <w:t>下图所示</w:t>
      </w:r>
    </w:p>
    <w:p w:rsidR="002B5853" w:rsidRDefault="002B5853" w:rsidP="002B5853">
      <w:pPr>
        <w:spacing w:line="360" w:lineRule="auto"/>
        <w:ind w:firstLineChars="200" w:firstLine="480"/>
        <w:rPr>
          <w:rFonts w:ascii="宋体" w:eastAsia="宋体" w:hAnsi="宋体"/>
          <w:sz w:val="28"/>
          <w:szCs w:val="28"/>
        </w:rPr>
      </w:pPr>
      <w:r>
        <w:rPr>
          <w:noProof/>
          <w:sz w:val="24"/>
        </w:rPr>
        <w:drawing>
          <wp:inline distT="0" distB="0" distL="0" distR="0" wp14:anchorId="45FD6BAB" wp14:editId="26184B66">
            <wp:extent cx="4972050" cy="3636267"/>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346" cy="3637946"/>
                    </a:xfrm>
                    <a:prstGeom prst="rect">
                      <a:avLst/>
                    </a:prstGeom>
                    <a:noFill/>
                  </pic:spPr>
                </pic:pic>
              </a:graphicData>
            </a:graphic>
          </wp:inline>
        </w:drawing>
      </w:r>
    </w:p>
    <w:p w:rsidR="002B5853" w:rsidRPr="002B5853" w:rsidRDefault="002B5853" w:rsidP="002B5853">
      <w:pPr>
        <w:spacing w:line="360" w:lineRule="auto"/>
        <w:ind w:firstLineChars="200" w:firstLine="560"/>
        <w:rPr>
          <w:rFonts w:ascii="宋体" w:eastAsia="宋体" w:hAnsi="宋体"/>
          <w:sz w:val="28"/>
          <w:szCs w:val="28"/>
        </w:rPr>
      </w:pPr>
      <w:r>
        <w:rPr>
          <w:rFonts w:ascii="宋体" w:eastAsia="宋体" w:hAnsi="宋体" w:hint="eastAsia"/>
          <w:sz w:val="28"/>
          <w:szCs w:val="28"/>
        </w:rPr>
        <w:t>本项目为平铺，光伏发电折减系数为8</w:t>
      </w:r>
      <w:r>
        <w:rPr>
          <w:rFonts w:ascii="宋体" w:eastAsia="宋体" w:hAnsi="宋体"/>
          <w:sz w:val="28"/>
          <w:szCs w:val="28"/>
        </w:rPr>
        <w:t>4</w:t>
      </w:r>
      <w:r>
        <w:rPr>
          <w:rFonts w:ascii="宋体" w:eastAsia="宋体" w:hAnsi="宋体" w:hint="eastAsia"/>
          <w:sz w:val="28"/>
          <w:szCs w:val="28"/>
        </w:rPr>
        <w:t>%。计算全寿命周期内发电量如下：</w:t>
      </w:r>
    </w:p>
    <w:tbl>
      <w:tblPr>
        <w:tblW w:w="8995" w:type="dxa"/>
        <w:jc w:val="center"/>
        <w:tblLook w:val="04A0" w:firstRow="1" w:lastRow="0" w:firstColumn="1" w:lastColumn="0" w:noHBand="0" w:noVBand="1"/>
      </w:tblPr>
      <w:tblGrid>
        <w:gridCol w:w="3744"/>
        <w:gridCol w:w="2694"/>
        <w:gridCol w:w="2557"/>
      </w:tblGrid>
      <w:tr w:rsidR="002B5853" w:rsidRPr="002B5853" w:rsidTr="002B5853">
        <w:trPr>
          <w:trHeight w:val="883"/>
          <w:jc w:val="center"/>
        </w:trPr>
        <w:tc>
          <w:tcPr>
            <w:tcW w:w="3744" w:type="dxa"/>
            <w:tcBorders>
              <w:top w:val="double" w:sz="6" w:space="0" w:color="auto"/>
              <w:left w:val="double" w:sz="6" w:space="0" w:color="auto"/>
              <w:bottom w:val="single" w:sz="4" w:space="0" w:color="000000"/>
              <w:right w:val="single" w:sz="4" w:space="0" w:color="000000"/>
            </w:tcBorders>
            <w:shd w:val="clear" w:color="auto" w:fill="auto"/>
            <w:noWrap/>
            <w:vAlign w:val="center"/>
            <w:hideMark/>
          </w:tcPr>
          <w:p w:rsidR="002B5853" w:rsidRPr="002B5853" w:rsidRDefault="002B5853" w:rsidP="002B5853">
            <w:pPr>
              <w:widowControl/>
              <w:jc w:val="center"/>
              <w:rPr>
                <w:rFonts w:ascii="宋体" w:eastAsia="宋体" w:hAnsi="宋体" w:cs="宋体"/>
                <w:kern w:val="0"/>
                <w:sz w:val="24"/>
                <w:szCs w:val="24"/>
              </w:rPr>
            </w:pPr>
            <w:r w:rsidRPr="002B5853">
              <w:rPr>
                <w:rFonts w:ascii="宋体" w:eastAsia="宋体" w:hAnsi="宋体" w:cs="宋体" w:hint="eastAsia"/>
                <w:kern w:val="0"/>
                <w:sz w:val="24"/>
                <w:szCs w:val="24"/>
              </w:rPr>
              <w:t xml:space="preserve">　</w:t>
            </w:r>
          </w:p>
        </w:tc>
        <w:tc>
          <w:tcPr>
            <w:tcW w:w="2694" w:type="dxa"/>
            <w:tcBorders>
              <w:top w:val="double" w:sz="6" w:space="0" w:color="auto"/>
              <w:left w:val="nil"/>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发电利用小时数（h）</w:t>
            </w:r>
          </w:p>
        </w:tc>
        <w:tc>
          <w:tcPr>
            <w:tcW w:w="2557" w:type="dxa"/>
            <w:tcBorders>
              <w:top w:val="double" w:sz="6" w:space="0" w:color="auto"/>
              <w:left w:val="nil"/>
              <w:bottom w:val="single" w:sz="4" w:space="0" w:color="000000"/>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发电量（万度）</w:t>
            </w:r>
          </w:p>
        </w:tc>
      </w:tr>
      <w:tr w:rsidR="002B5853" w:rsidRPr="002B5853" w:rsidTr="002B5853">
        <w:trPr>
          <w:trHeight w:val="441"/>
          <w:jc w:val="center"/>
        </w:trPr>
        <w:tc>
          <w:tcPr>
            <w:tcW w:w="3744" w:type="dxa"/>
            <w:tcBorders>
              <w:top w:val="nil"/>
              <w:left w:val="double" w:sz="6" w:space="0" w:color="auto"/>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五年内平均值</w:t>
            </w:r>
          </w:p>
        </w:tc>
        <w:tc>
          <w:tcPr>
            <w:tcW w:w="2694" w:type="dxa"/>
            <w:tcBorders>
              <w:top w:val="nil"/>
              <w:left w:val="nil"/>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1091.81 </w:t>
            </w:r>
          </w:p>
        </w:tc>
        <w:tc>
          <w:tcPr>
            <w:tcW w:w="2557" w:type="dxa"/>
            <w:tcBorders>
              <w:top w:val="nil"/>
              <w:left w:val="nil"/>
              <w:bottom w:val="single" w:sz="4" w:space="0" w:color="000000"/>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4.37 </w:t>
            </w:r>
          </w:p>
        </w:tc>
      </w:tr>
      <w:tr w:rsidR="002B5853" w:rsidRPr="002B5853" w:rsidTr="002B5853">
        <w:trPr>
          <w:trHeight w:val="441"/>
          <w:jc w:val="center"/>
        </w:trPr>
        <w:tc>
          <w:tcPr>
            <w:tcW w:w="3744" w:type="dxa"/>
            <w:tcBorders>
              <w:top w:val="nil"/>
              <w:left w:val="double" w:sz="6" w:space="0" w:color="auto"/>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十年内平均值</w:t>
            </w:r>
          </w:p>
        </w:tc>
        <w:tc>
          <w:tcPr>
            <w:tcW w:w="2694" w:type="dxa"/>
            <w:tcBorders>
              <w:top w:val="nil"/>
              <w:left w:val="nil"/>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1075.66 </w:t>
            </w:r>
          </w:p>
        </w:tc>
        <w:tc>
          <w:tcPr>
            <w:tcW w:w="2557" w:type="dxa"/>
            <w:tcBorders>
              <w:top w:val="nil"/>
              <w:left w:val="nil"/>
              <w:bottom w:val="single" w:sz="4" w:space="0" w:color="000000"/>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4.30 </w:t>
            </w:r>
          </w:p>
        </w:tc>
      </w:tr>
      <w:tr w:rsidR="002B5853" w:rsidRPr="002B5853" w:rsidTr="002B5853">
        <w:trPr>
          <w:trHeight w:val="441"/>
          <w:jc w:val="center"/>
        </w:trPr>
        <w:tc>
          <w:tcPr>
            <w:tcW w:w="3744" w:type="dxa"/>
            <w:tcBorders>
              <w:top w:val="nil"/>
              <w:left w:val="double" w:sz="6" w:space="0" w:color="auto"/>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十五年内平均值</w:t>
            </w:r>
          </w:p>
        </w:tc>
        <w:tc>
          <w:tcPr>
            <w:tcW w:w="2694" w:type="dxa"/>
            <w:tcBorders>
              <w:top w:val="nil"/>
              <w:left w:val="nil"/>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1062.09 </w:t>
            </w:r>
          </w:p>
        </w:tc>
        <w:tc>
          <w:tcPr>
            <w:tcW w:w="2557" w:type="dxa"/>
            <w:tcBorders>
              <w:top w:val="nil"/>
              <w:left w:val="nil"/>
              <w:bottom w:val="single" w:sz="4" w:space="0" w:color="000000"/>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4.25 </w:t>
            </w:r>
          </w:p>
        </w:tc>
      </w:tr>
      <w:tr w:rsidR="002B5853" w:rsidRPr="002B5853" w:rsidTr="002B5853">
        <w:trPr>
          <w:trHeight w:val="441"/>
          <w:jc w:val="center"/>
        </w:trPr>
        <w:tc>
          <w:tcPr>
            <w:tcW w:w="3744" w:type="dxa"/>
            <w:tcBorders>
              <w:top w:val="nil"/>
              <w:left w:val="double" w:sz="6" w:space="0" w:color="auto"/>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二十年内平均值</w:t>
            </w:r>
          </w:p>
        </w:tc>
        <w:tc>
          <w:tcPr>
            <w:tcW w:w="2694" w:type="dxa"/>
            <w:tcBorders>
              <w:top w:val="nil"/>
              <w:left w:val="nil"/>
              <w:bottom w:val="single" w:sz="4" w:space="0" w:color="000000"/>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1050.46 </w:t>
            </w:r>
          </w:p>
        </w:tc>
        <w:tc>
          <w:tcPr>
            <w:tcW w:w="2557" w:type="dxa"/>
            <w:tcBorders>
              <w:top w:val="nil"/>
              <w:left w:val="nil"/>
              <w:bottom w:val="single" w:sz="4" w:space="0" w:color="000000"/>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4.20 </w:t>
            </w:r>
          </w:p>
        </w:tc>
      </w:tr>
      <w:tr w:rsidR="002B5853" w:rsidRPr="002B5853" w:rsidTr="002B5853">
        <w:trPr>
          <w:trHeight w:val="441"/>
          <w:jc w:val="center"/>
        </w:trPr>
        <w:tc>
          <w:tcPr>
            <w:tcW w:w="3744" w:type="dxa"/>
            <w:tcBorders>
              <w:top w:val="nil"/>
              <w:left w:val="double" w:sz="6" w:space="0" w:color="auto"/>
              <w:bottom w:val="double" w:sz="6" w:space="0" w:color="auto"/>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 w:val="24"/>
                <w:szCs w:val="24"/>
              </w:rPr>
            </w:pPr>
            <w:r w:rsidRPr="002B5853">
              <w:rPr>
                <w:rFonts w:ascii="宋体" w:eastAsia="宋体" w:hAnsi="宋体" w:cs="宋体" w:hint="eastAsia"/>
                <w:color w:val="000000"/>
                <w:kern w:val="0"/>
                <w:sz w:val="24"/>
                <w:szCs w:val="24"/>
              </w:rPr>
              <w:t>二十五年内平均值</w:t>
            </w:r>
          </w:p>
        </w:tc>
        <w:tc>
          <w:tcPr>
            <w:tcW w:w="2694" w:type="dxa"/>
            <w:tcBorders>
              <w:top w:val="nil"/>
              <w:left w:val="nil"/>
              <w:bottom w:val="double" w:sz="6" w:space="0" w:color="auto"/>
              <w:right w:val="single" w:sz="4" w:space="0" w:color="000000"/>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1039.61 </w:t>
            </w:r>
          </w:p>
        </w:tc>
        <w:tc>
          <w:tcPr>
            <w:tcW w:w="2557" w:type="dxa"/>
            <w:tcBorders>
              <w:top w:val="nil"/>
              <w:left w:val="nil"/>
              <w:bottom w:val="double" w:sz="6" w:space="0" w:color="auto"/>
              <w:right w:val="double" w:sz="6" w:space="0" w:color="auto"/>
            </w:tcBorders>
            <w:shd w:val="clear" w:color="auto" w:fill="auto"/>
            <w:vAlign w:val="center"/>
            <w:hideMark/>
          </w:tcPr>
          <w:p w:rsidR="002B5853" w:rsidRPr="002B5853" w:rsidRDefault="002B5853" w:rsidP="002B5853">
            <w:pPr>
              <w:widowControl/>
              <w:jc w:val="center"/>
              <w:rPr>
                <w:rFonts w:ascii="宋体" w:eastAsia="宋体" w:hAnsi="宋体" w:cs="宋体"/>
                <w:color w:val="000000"/>
                <w:kern w:val="0"/>
                <w:szCs w:val="21"/>
              </w:rPr>
            </w:pPr>
            <w:r w:rsidRPr="002B5853">
              <w:rPr>
                <w:rFonts w:ascii="宋体" w:eastAsia="宋体" w:hAnsi="宋体" w:cs="宋体" w:hint="eastAsia"/>
                <w:color w:val="000000"/>
                <w:kern w:val="0"/>
                <w:szCs w:val="21"/>
              </w:rPr>
              <w:t xml:space="preserve">4.16 </w:t>
            </w:r>
          </w:p>
        </w:tc>
      </w:tr>
    </w:tbl>
    <w:p w:rsidR="002B5853" w:rsidRPr="002B5853" w:rsidRDefault="002B5853" w:rsidP="002B5853">
      <w:pPr>
        <w:rPr>
          <w:rFonts w:ascii="宋体" w:eastAsia="宋体" w:hAnsi="宋体"/>
          <w:b/>
          <w:sz w:val="28"/>
          <w:szCs w:val="28"/>
        </w:rPr>
      </w:pPr>
    </w:p>
    <w:sectPr w:rsidR="002B5853" w:rsidRPr="002B58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C63" w:rsidRDefault="00455C63" w:rsidP="002266EB">
      <w:r>
        <w:separator/>
      </w:r>
    </w:p>
  </w:endnote>
  <w:endnote w:type="continuationSeparator" w:id="0">
    <w:p w:rsidR="00455C63" w:rsidRDefault="00455C63" w:rsidP="0022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C63" w:rsidRDefault="00455C63" w:rsidP="002266EB">
      <w:r>
        <w:separator/>
      </w:r>
    </w:p>
  </w:footnote>
  <w:footnote w:type="continuationSeparator" w:id="0">
    <w:p w:rsidR="00455C63" w:rsidRDefault="00455C63" w:rsidP="002266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21445"/>
    <w:multiLevelType w:val="multilevel"/>
    <w:tmpl w:val="D0BC45F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34"/>
        </w:tabs>
        <w:ind w:left="1134"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27465367"/>
    <w:multiLevelType w:val="hybridMultilevel"/>
    <w:tmpl w:val="CEF641C2"/>
    <w:lvl w:ilvl="0" w:tplc="2166948C">
      <w:start w:val="1"/>
      <w:numFmt w:val="decimal"/>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46"/>
    <w:rsid w:val="0000613B"/>
    <w:rsid w:val="001D033F"/>
    <w:rsid w:val="002266EB"/>
    <w:rsid w:val="002B5853"/>
    <w:rsid w:val="00451646"/>
    <w:rsid w:val="00455C63"/>
    <w:rsid w:val="005B2F8F"/>
    <w:rsid w:val="006431C4"/>
    <w:rsid w:val="007C16A8"/>
    <w:rsid w:val="008F01E8"/>
    <w:rsid w:val="00C16639"/>
    <w:rsid w:val="00DC59FD"/>
    <w:rsid w:val="00E63079"/>
    <w:rsid w:val="00EA1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129F3"/>
  <w15:chartTrackingRefBased/>
  <w15:docId w15:val="{13EF6FE3-A39E-4D8A-9549-74150352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DC59FD"/>
    <w:pPr>
      <w:keepNext/>
      <w:keepLines/>
      <w:spacing w:before="340" w:after="330" w:line="578" w:lineRule="auto"/>
      <w:outlineLvl w:val="0"/>
    </w:pPr>
    <w:rPr>
      <w:rFonts w:ascii="Times New Roman" w:eastAsia="宋体" w:hAnsi="Times New Roman" w:cs="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D033F"/>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1D033F"/>
    <w:rPr>
      <w:rFonts w:asciiTheme="majorHAnsi" w:eastAsiaTheme="majorEastAsia" w:hAnsiTheme="majorHAnsi" w:cstheme="majorBidi"/>
      <w:b/>
      <w:bCs/>
      <w:sz w:val="32"/>
      <w:szCs w:val="32"/>
    </w:rPr>
  </w:style>
  <w:style w:type="table" w:styleId="a5">
    <w:name w:val="Table Grid"/>
    <w:basedOn w:val="a1"/>
    <w:uiPriority w:val="39"/>
    <w:rsid w:val="00EA1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rsid w:val="00DC59FD"/>
    <w:rPr>
      <w:rFonts w:ascii="Times New Roman" w:eastAsia="宋体" w:hAnsi="Times New Roman" w:cs="Times New Roman"/>
      <w:b/>
      <w:bCs/>
      <w:kern w:val="44"/>
      <w:sz w:val="28"/>
      <w:szCs w:val="44"/>
    </w:rPr>
  </w:style>
  <w:style w:type="paragraph" w:styleId="a6">
    <w:name w:val="Normal (Web)"/>
    <w:basedOn w:val="a"/>
    <w:link w:val="a7"/>
    <w:unhideWhenUsed/>
    <w:rsid w:val="00DC59FD"/>
    <w:rPr>
      <w:rFonts w:ascii="Times New Roman" w:eastAsia="宋体" w:hAnsi="Times New Roman" w:cs="Times New Roman"/>
      <w:sz w:val="24"/>
      <w:szCs w:val="20"/>
    </w:rPr>
  </w:style>
  <w:style w:type="character" w:customStyle="1" w:styleId="a7">
    <w:name w:val="普通(网站) 字符"/>
    <w:basedOn w:val="a0"/>
    <w:link w:val="a6"/>
    <w:rsid w:val="00DC59FD"/>
    <w:rPr>
      <w:rFonts w:ascii="Times New Roman" w:eastAsia="宋体" w:hAnsi="Times New Roman" w:cs="Times New Roman"/>
      <w:sz w:val="24"/>
      <w:szCs w:val="20"/>
    </w:rPr>
  </w:style>
  <w:style w:type="paragraph" w:styleId="a8">
    <w:name w:val="header"/>
    <w:basedOn w:val="a"/>
    <w:link w:val="a9"/>
    <w:uiPriority w:val="99"/>
    <w:unhideWhenUsed/>
    <w:rsid w:val="002266EB"/>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2266EB"/>
    <w:rPr>
      <w:sz w:val="18"/>
      <w:szCs w:val="18"/>
    </w:rPr>
  </w:style>
  <w:style w:type="paragraph" w:styleId="aa">
    <w:name w:val="footer"/>
    <w:basedOn w:val="a"/>
    <w:link w:val="ab"/>
    <w:uiPriority w:val="99"/>
    <w:unhideWhenUsed/>
    <w:rsid w:val="002266EB"/>
    <w:pPr>
      <w:tabs>
        <w:tab w:val="center" w:pos="4153"/>
        <w:tab w:val="right" w:pos="8306"/>
      </w:tabs>
      <w:snapToGrid w:val="0"/>
      <w:jc w:val="left"/>
    </w:pPr>
    <w:rPr>
      <w:sz w:val="18"/>
      <w:szCs w:val="18"/>
    </w:rPr>
  </w:style>
  <w:style w:type="character" w:customStyle="1" w:styleId="ab">
    <w:name w:val="页脚 字符"/>
    <w:basedOn w:val="a0"/>
    <w:link w:val="aa"/>
    <w:uiPriority w:val="99"/>
    <w:rsid w:val="002266E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03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Pages>
  <Words>378</Words>
  <Characters>2155</Characters>
  <Application>Microsoft Office Word</Application>
  <DocSecurity>0</DocSecurity>
  <Lines>17</Lines>
  <Paragraphs>5</Paragraphs>
  <ScaleCrop>false</ScaleCrop>
  <Company>P R C</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李世杰(Li Shijie 金茂绿建)</dc:creator>
  <cp:keywords/>
  <dc:description/>
  <cp:lastModifiedBy>Zeng</cp:lastModifiedBy>
  <cp:revision>5</cp:revision>
  <dcterms:created xsi:type="dcterms:W3CDTF">2020-08-17T08:36:00Z</dcterms:created>
  <dcterms:modified xsi:type="dcterms:W3CDTF">2020-08-20T08:11:00Z</dcterms:modified>
</cp:coreProperties>
</file>