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C4" w:rsidRDefault="00EC48C4" w:rsidP="00EC48C4">
      <w:pPr>
        <w:pStyle w:val="Titre2"/>
      </w:pPr>
      <w:bookmarkStart w:id="0" w:name="_Toc422518206"/>
      <w:bookmarkStart w:id="1" w:name="_Toc422656404"/>
      <w:bookmarkStart w:id="2" w:name="_Toc422660800"/>
      <w:bookmarkStart w:id="3" w:name="_Toc422662198"/>
      <w:r w:rsidRPr="008C3550">
        <w:t xml:space="preserve">Mettre en place </w:t>
      </w:r>
      <w:r>
        <w:t xml:space="preserve">la </w:t>
      </w:r>
      <w:r w:rsidRPr="008C3550">
        <w:t>ville cyclable : contenu et opérationnalisation</w:t>
      </w:r>
      <w:r>
        <w:t xml:space="preserve"> de la notion</w:t>
      </w:r>
      <w:bookmarkEnd w:id="0"/>
      <w:bookmarkEnd w:id="1"/>
      <w:bookmarkEnd w:id="2"/>
      <w:bookmarkEnd w:id="3"/>
    </w:p>
    <w:p w:rsidR="00EC48C4" w:rsidRPr="009F64D2" w:rsidRDefault="00EC48C4" w:rsidP="00EC48C4"/>
    <w:p w:rsidR="00EC48C4" w:rsidRDefault="00EC48C4" w:rsidP="00EC48C4">
      <w:pPr>
        <w:spacing w:line="360" w:lineRule="auto"/>
        <w:jc w:val="both"/>
        <w:rPr>
          <w:rFonts w:ascii="Times New Roman" w:hAnsi="Times New Roman" w:cs="Times New Roman"/>
          <w:sz w:val="24"/>
          <w:szCs w:val="24"/>
        </w:rPr>
      </w:pPr>
      <w:r>
        <w:rPr>
          <w:rFonts w:ascii="Times New Roman" w:hAnsi="Times New Roman" w:cs="Times New Roman"/>
          <w:sz w:val="24"/>
          <w:szCs w:val="24"/>
        </w:rPr>
        <w:t>A lumière des travaux de Frédéric Héran, appuyé et en collaboration entre autres avec l’ADEME ou des associations, mais aussi avec les publications plus opérationnelles du CERTU qui s’est récemment fondu dans le CEREMA, on comprend mieux la notion de Ville Cyclable, son contenu et comment il peut être opérationnalisé.</w:t>
      </w:r>
    </w:p>
    <w:p w:rsidR="00EC48C4" w:rsidRDefault="00EC48C4" w:rsidP="00EC48C4">
      <w:pPr>
        <w:spacing w:line="360" w:lineRule="auto"/>
        <w:jc w:val="both"/>
        <w:rPr>
          <w:rFonts w:ascii="Times New Roman" w:hAnsi="Times New Roman" w:cs="Times New Roman"/>
          <w:sz w:val="24"/>
          <w:szCs w:val="24"/>
        </w:rPr>
      </w:pPr>
      <w:r>
        <w:rPr>
          <w:rFonts w:ascii="Times New Roman" w:hAnsi="Times New Roman" w:cs="Times New Roman"/>
          <w:sz w:val="24"/>
          <w:szCs w:val="24"/>
        </w:rPr>
        <w:t>La ville cyclable, telle qu’évoquée plus haut, est une ville aménagée pour que le cycliste, utilisant le mode déplacement le plus vulnérable (hormis la marche), se sente à son aise et trouve sa place, sans crainte de danger, avec la possibilité de choisir des modes alternatifs à la voiture pour compléter le vélo. Ceci nécessite un ensemble d’actions et de mesures dont essentiellement la limitation de la vitesse et de l’accessibilité automobile, les aménagements cyclables, le développement de services aux cyclistes et celui des transports en commun.</w:t>
      </w:r>
    </w:p>
    <w:p w:rsidR="00EC48C4" w:rsidRPr="00596566" w:rsidRDefault="00EC48C4" w:rsidP="00EC48C4">
      <w:pPr>
        <w:pStyle w:val="Paragraphedeliste"/>
        <w:numPr>
          <w:ilvl w:val="0"/>
          <w:numId w:val="3"/>
        </w:numPr>
        <w:spacing w:line="360" w:lineRule="auto"/>
        <w:jc w:val="both"/>
        <w:rPr>
          <w:rFonts w:ascii="Times New Roman" w:hAnsi="Times New Roman" w:cs="Times New Roman"/>
          <w:b/>
          <w:sz w:val="24"/>
          <w:szCs w:val="24"/>
        </w:rPr>
      </w:pPr>
      <w:r w:rsidRPr="00596566">
        <w:rPr>
          <w:rFonts w:ascii="Times New Roman" w:hAnsi="Times New Roman" w:cs="Times New Roman"/>
          <w:b/>
          <w:sz w:val="24"/>
          <w:szCs w:val="24"/>
        </w:rPr>
        <w:t>Apaisement de la vitesse et limitation l’accessibilité automobile</w:t>
      </w:r>
    </w:p>
    <w:p w:rsidR="00EC48C4" w:rsidRDefault="00EC48C4" w:rsidP="00EC4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L’apaisement, entendu au sens de limitation de la vitesse en ville revient à la mise en place de « Zones à Trafic Limité » (ZTL), notamment les Zones 30, les Zones de rencontre et les rues piétonnes. Les ZTL permettent de reconsidérer les fonctions traditionnelles de la voirie qui concernent la circulation, en y introduisant la vie locale – et ses rythmes – comme paramètre essentiel. C’est ce qu’illustre le schéma suivant adapté du schéma « Equilibre entre vie locale et circulation » proposé dans la Fiche Technique </w:t>
      </w:r>
      <w:r w:rsidRPr="00F10587">
        <w:rPr>
          <w:rFonts w:ascii="Times New Roman" w:hAnsi="Times New Roman" w:cs="Times New Roman"/>
          <w:b/>
          <w:sz w:val="24"/>
          <w:szCs w:val="24"/>
        </w:rPr>
        <w:t xml:space="preserve">Les zones de circulation particulières en </w:t>
      </w:r>
      <w:r>
        <w:rPr>
          <w:rFonts w:ascii="Times New Roman" w:hAnsi="Times New Roman" w:cs="Times New Roman"/>
          <w:b/>
          <w:sz w:val="24"/>
          <w:szCs w:val="24"/>
        </w:rPr>
        <w:t>milieu urba</w:t>
      </w:r>
      <w:r w:rsidRPr="00F10587">
        <w:rPr>
          <w:rFonts w:ascii="Times New Roman" w:hAnsi="Times New Roman" w:cs="Times New Roman"/>
          <w:sz w:val="24"/>
          <w:szCs w:val="24"/>
        </w:rPr>
        <w:t>i</w:t>
      </w:r>
      <w:r>
        <w:rPr>
          <w:rFonts w:ascii="Times New Roman" w:hAnsi="Times New Roman" w:cs="Times New Roman"/>
          <w:sz w:val="24"/>
          <w:szCs w:val="24"/>
        </w:rPr>
        <w:t xml:space="preserve">n. </w:t>
      </w:r>
      <w:r>
        <w:rPr>
          <w:rFonts w:ascii="Times New Roman" w:hAnsi="Times New Roman" w:cs="Times New Roman"/>
          <w:b/>
          <w:sz w:val="24"/>
          <w:szCs w:val="24"/>
        </w:rPr>
        <w:t>A</w:t>
      </w:r>
      <w:r w:rsidRPr="00EE555A">
        <w:rPr>
          <w:rFonts w:ascii="Times New Roman" w:hAnsi="Times New Roman" w:cs="Times New Roman"/>
          <w:b/>
          <w:sz w:val="24"/>
          <w:szCs w:val="24"/>
        </w:rPr>
        <w:t>ire piétonne, zone de rencontre, zone 30 : trois outils règlementaires pour un meilleur partage de la voirie</w:t>
      </w:r>
      <w:r>
        <w:rPr>
          <w:rFonts w:ascii="Times New Roman" w:hAnsi="Times New Roman" w:cs="Times New Roman"/>
          <w:b/>
          <w:sz w:val="24"/>
          <w:szCs w:val="24"/>
        </w:rPr>
        <w:t xml:space="preserve"> p</w:t>
      </w:r>
      <w:r>
        <w:rPr>
          <w:rFonts w:ascii="Times New Roman" w:hAnsi="Times New Roman" w:cs="Times New Roman"/>
          <w:sz w:val="24"/>
          <w:szCs w:val="24"/>
        </w:rPr>
        <w:t>ublié par le CERTU en 2011 (CERTU, 2011-a)</w:t>
      </w:r>
    </w:p>
    <w:p w:rsidR="00EC48C4" w:rsidRDefault="00EC48C4" w:rsidP="00EC48C4">
      <w:pPr>
        <w:spacing w:line="360" w:lineRule="auto"/>
        <w:jc w:val="both"/>
        <w:rPr>
          <w:rStyle w:val="Titre3Car"/>
        </w:rPr>
      </w:pPr>
    </w:p>
    <w:p w:rsidR="00EC48C4" w:rsidRPr="00D31F65" w:rsidRDefault="00EC48C4" w:rsidP="00EC48C4">
      <w:pPr>
        <w:spacing w:line="360" w:lineRule="auto"/>
        <w:jc w:val="both"/>
        <w:rPr>
          <w:rStyle w:val="lev"/>
          <w:u w:val="single"/>
        </w:rPr>
      </w:pPr>
      <w:bookmarkStart w:id="4" w:name="_Toc422665056"/>
      <w:r w:rsidRPr="00900837">
        <w:rPr>
          <w:rStyle w:val="Titre3Car"/>
          <w:b/>
        </w:rPr>
        <w:t>Figure N°3 : Choix entre vie locale et circulation avec la limitation de vitesse</w:t>
      </w:r>
      <w:bookmarkEnd w:id="4"/>
      <w:r w:rsidRPr="00D31F65">
        <w:rPr>
          <w:rStyle w:val="lev"/>
          <w:u w:val="single"/>
        </w:rPr>
        <w:t>-</w:t>
      </w:r>
      <w:r>
        <w:rPr>
          <w:rStyle w:val="lev"/>
          <w:u w:val="single"/>
        </w:rPr>
        <w:t xml:space="preserve"> </w:t>
      </w:r>
      <w:r w:rsidRPr="00D31F65">
        <w:rPr>
          <w:rStyle w:val="lev"/>
          <w:u w:val="single"/>
        </w:rPr>
        <w:t>Source : CERTU, 2011-a (Adaptation)</w:t>
      </w:r>
    </w:p>
    <w:p w:rsidR="00EC48C4" w:rsidRDefault="00EC48C4" w:rsidP="00EC48C4">
      <w:pPr>
        <w:spacing w:line="360" w:lineRule="auto"/>
        <w:jc w:val="both"/>
        <w:rPr>
          <w:rFonts w:ascii="Times New Roman" w:hAnsi="Times New Roman" w:cs="Times New Roman"/>
          <w:sz w:val="24"/>
          <w:szCs w:val="24"/>
        </w:rPr>
      </w:pPr>
      <w:r>
        <w:rPr>
          <w:noProof/>
          <w:lang w:eastAsia="fr-FR"/>
        </w:rPr>
        <w:lastRenderedPageBreak/>
        <mc:AlternateContent>
          <mc:Choice Requires="wps">
            <w:drawing>
              <wp:anchor distT="0" distB="0" distL="114300" distR="114300" simplePos="0" relativeHeight="251660288" behindDoc="0" locked="0" layoutInCell="1" allowOverlap="1" wp14:anchorId="51A07BCF" wp14:editId="14BA9BC1">
                <wp:simplePos x="0" y="0"/>
                <wp:positionH relativeFrom="column">
                  <wp:posOffset>3456545</wp:posOffset>
                </wp:positionH>
                <wp:positionV relativeFrom="paragraph">
                  <wp:posOffset>2296975</wp:posOffset>
                </wp:positionV>
                <wp:extent cx="2734573" cy="274955"/>
                <wp:effectExtent l="0" t="0" r="27940" b="10795"/>
                <wp:wrapNone/>
                <wp:docPr id="44" name="Rectangle 44"/>
                <wp:cNvGraphicFramePr/>
                <a:graphic xmlns:a="http://schemas.openxmlformats.org/drawingml/2006/main">
                  <a:graphicData uri="http://schemas.microsoft.com/office/word/2010/wordprocessingShape">
                    <wps:wsp>
                      <wps:cNvSpPr/>
                      <wps:spPr>
                        <a:xfrm>
                          <a:off x="0" y="0"/>
                          <a:ext cx="2734573" cy="274955"/>
                        </a:xfrm>
                        <a:prstGeom prst="rect">
                          <a:avLst/>
                        </a:prstGeom>
                      </wps:spPr>
                      <wps:style>
                        <a:lnRef idx="2">
                          <a:schemeClr val="accent3"/>
                        </a:lnRef>
                        <a:fillRef idx="1">
                          <a:schemeClr val="lt1"/>
                        </a:fillRef>
                        <a:effectRef idx="0">
                          <a:schemeClr val="accent3"/>
                        </a:effectRef>
                        <a:fontRef idx="minor">
                          <a:schemeClr val="dk1"/>
                        </a:fontRef>
                      </wps:style>
                      <wps:txbx>
                        <w:txbxContent>
                          <w:p w:rsidR="00EC48C4" w:rsidRPr="00974791" w:rsidRDefault="00EC48C4" w:rsidP="00EC48C4">
                            <w:pPr>
                              <w:jc w:val="center"/>
                              <w:rPr>
                                <w:b/>
                              </w:rPr>
                            </w:pPr>
                            <w:r w:rsidRPr="00974791">
                              <w:rPr>
                                <w:b/>
                              </w:rPr>
                              <w:t>Circulation priorisée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07BCF" id="Rectangle 44" o:spid="_x0000_s1026" style="position:absolute;left:0;text-align:left;margin-left:272.15pt;margin-top:180.85pt;width:215.3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" fillcolor="white [3201]" strokecolor="#a5a5a5 [3206]" strokeweight="1pt">
                <v:textbox>
                  <w:txbxContent>
                    <w:p w:rsidR="00EC48C4" w:rsidRPr="00974791" w:rsidRDefault="00EC48C4" w:rsidP="00EC48C4">
                      <w:pPr>
                        <w:jc w:val="center"/>
                        <w:rPr>
                          <w:b/>
                        </w:rPr>
                      </w:pPr>
                      <w:r w:rsidRPr="00974791">
                        <w:rPr>
                          <w:b/>
                        </w:rPr>
                        <w:t>Circulation priorisée</w:t>
                      </w:r>
                    </w:p>
                  </w:txbxContent>
                </v:textbox>
              </v:rect>
            </w:pict>
          </mc:Fallback>
        </mc:AlternateContent>
      </w:r>
      <w:r>
        <w:rPr>
          <w:noProof/>
          <w:lang w:eastAsia="fr-FR"/>
        </w:rPr>
        <mc:AlternateContent>
          <mc:Choice Requires="wps">
            <w:drawing>
              <wp:anchor distT="0" distB="0" distL="114300" distR="114300" simplePos="0" relativeHeight="251659264" behindDoc="0" locked="0" layoutInCell="1" allowOverlap="1" wp14:anchorId="55F5EFA3" wp14:editId="56F726B7">
                <wp:simplePos x="0" y="0"/>
                <wp:positionH relativeFrom="column">
                  <wp:posOffset>1274062</wp:posOffset>
                </wp:positionH>
                <wp:positionV relativeFrom="paragraph">
                  <wp:posOffset>2279722</wp:posOffset>
                </wp:positionV>
                <wp:extent cx="1733550" cy="284108"/>
                <wp:effectExtent l="0" t="0" r="19050" b="20955"/>
                <wp:wrapNone/>
                <wp:docPr id="45" name="Rectangle 45"/>
                <wp:cNvGraphicFramePr/>
                <a:graphic xmlns:a="http://schemas.openxmlformats.org/drawingml/2006/main">
                  <a:graphicData uri="http://schemas.microsoft.com/office/word/2010/wordprocessingShape">
                    <wps:wsp>
                      <wps:cNvSpPr/>
                      <wps:spPr>
                        <a:xfrm>
                          <a:off x="0" y="0"/>
                          <a:ext cx="1733550" cy="284108"/>
                        </a:xfrm>
                        <a:prstGeom prst="rect">
                          <a:avLst/>
                        </a:prstGeom>
                      </wps:spPr>
                      <wps:style>
                        <a:lnRef idx="2">
                          <a:schemeClr val="accent3"/>
                        </a:lnRef>
                        <a:fillRef idx="1">
                          <a:schemeClr val="lt1"/>
                        </a:fillRef>
                        <a:effectRef idx="0">
                          <a:schemeClr val="accent3"/>
                        </a:effectRef>
                        <a:fontRef idx="minor">
                          <a:schemeClr val="dk1"/>
                        </a:fontRef>
                      </wps:style>
                      <wps:txbx>
                        <w:txbxContent>
                          <w:p w:rsidR="00EC48C4" w:rsidRPr="00974791" w:rsidRDefault="00EC48C4" w:rsidP="00EC48C4">
                            <w:pPr>
                              <w:jc w:val="center"/>
                              <w:rPr>
                                <w:b/>
                                <w:sz w:val="24"/>
                                <w:szCs w:val="24"/>
                              </w:rPr>
                            </w:pPr>
                            <w:r w:rsidRPr="00974791">
                              <w:rPr>
                                <w:b/>
                                <w:sz w:val="24"/>
                                <w:szCs w:val="24"/>
                              </w:rPr>
                              <w:t>Vie locale priorisée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5EFA3" id="Rectangle 45" o:spid="_x0000_s1027" style="position:absolute;left:0;text-align:left;margin-left:100.3pt;margin-top:179.5pt;width:136.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" fillcolor="white [3201]" strokecolor="#a5a5a5 [3206]" strokeweight="1pt">
                <v:textbox>
                  <w:txbxContent>
                    <w:p w:rsidR="00EC48C4" w:rsidRPr="00974791" w:rsidRDefault="00EC48C4" w:rsidP="00EC48C4">
                      <w:pPr>
                        <w:jc w:val="center"/>
                        <w:rPr>
                          <w:b/>
                          <w:sz w:val="24"/>
                          <w:szCs w:val="24"/>
                        </w:rPr>
                      </w:pPr>
                      <w:r w:rsidRPr="00974791">
                        <w:rPr>
                          <w:b/>
                          <w:sz w:val="24"/>
                          <w:szCs w:val="24"/>
                        </w:rPr>
                        <w:t>Vie locale priorisée</w:t>
                      </w:r>
                    </w:p>
                  </w:txbxContent>
                </v:textbox>
              </v:rect>
            </w:pict>
          </mc:Fallback>
        </mc:AlternateContent>
      </w:r>
      <w:r>
        <w:rPr>
          <w:rFonts w:ascii="Times New Roman" w:hAnsi="Times New Roman" w:cs="Times New Roman"/>
          <w:noProof/>
          <w:sz w:val="24"/>
          <w:szCs w:val="24"/>
          <w:lang w:eastAsia="fr-FR"/>
        </w:rPr>
        <w:drawing>
          <wp:inline distT="0" distB="0" distL="0" distR="0" wp14:anchorId="629526E6" wp14:editId="0F023F64">
            <wp:extent cx="6406228" cy="2570672"/>
            <wp:effectExtent l="0" t="0" r="0" b="127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6223" cy="2614810"/>
                    </a:xfrm>
                    <a:prstGeom prst="rect">
                      <a:avLst/>
                    </a:prstGeom>
                    <a:noFill/>
                  </pic:spPr>
                </pic:pic>
              </a:graphicData>
            </a:graphic>
          </wp:inline>
        </w:drawing>
      </w:r>
    </w:p>
    <w:p w:rsidR="00EC48C4" w:rsidRDefault="00EC48C4" w:rsidP="00EC48C4">
      <w:pPr>
        <w:spacing w:line="360" w:lineRule="auto"/>
        <w:jc w:val="both"/>
        <w:rPr>
          <w:rFonts w:ascii="Times New Roman" w:hAnsi="Times New Roman" w:cs="Times New Roman"/>
          <w:sz w:val="24"/>
          <w:szCs w:val="24"/>
        </w:rPr>
      </w:pPr>
    </w:p>
    <w:p w:rsidR="00EC48C4" w:rsidRDefault="00EC48C4" w:rsidP="00EC4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Frédéric Héran, la vitesse peut être perçue comme exerçant un véritable effet de coupure urbaine, empêchant la mixité des usages, et accentuant la ségrégation sociale, car, pour lui, favoriser la vitesse automobile réduit </w:t>
      </w:r>
      <w:r w:rsidRPr="00EE555A">
        <w:rPr>
          <w:rFonts w:ascii="Times New Roman" w:hAnsi="Times New Roman" w:cs="Times New Roman"/>
          <w:i/>
          <w:sz w:val="24"/>
          <w:szCs w:val="24"/>
        </w:rPr>
        <w:t>de facto</w:t>
      </w:r>
      <w:r>
        <w:rPr>
          <w:rFonts w:ascii="Times New Roman" w:hAnsi="Times New Roman" w:cs="Times New Roman"/>
          <w:sz w:val="24"/>
          <w:szCs w:val="24"/>
        </w:rPr>
        <w:t xml:space="preserve"> celle des piétons et des cyclistes. De plus, les infrastructures routières symboles de la vitesse, que sont entre autres les autoroutes et les boulevards, lorsqu’elles traversent la ville, la maillent et la morcellent, et rendent les différentes parties difficiles d’accès, non seulement à partir du centre mais aussi entre elles (Héran, 2011). Mais limiter la vitesse ne suffit pas. L</w:t>
      </w:r>
      <w:r w:rsidRPr="00596566">
        <w:rPr>
          <w:rFonts w:ascii="Times New Roman" w:hAnsi="Times New Roman" w:cs="Times New Roman"/>
          <w:sz w:val="24"/>
          <w:szCs w:val="24"/>
        </w:rPr>
        <w:t>’accessibilité automobile</w:t>
      </w:r>
      <w:r>
        <w:rPr>
          <w:rFonts w:ascii="Times New Roman" w:hAnsi="Times New Roman" w:cs="Times New Roman"/>
          <w:sz w:val="24"/>
          <w:szCs w:val="24"/>
        </w:rPr>
        <w:t xml:space="preserve"> en soi, lorsqu’elle n’est pas maîtrisée,</w:t>
      </w:r>
      <w:r w:rsidRPr="00596566">
        <w:rPr>
          <w:rFonts w:ascii="Times New Roman" w:hAnsi="Times New Roman" w:cs="Times New Roman"/>
          <w:sz w:val="24"/>
          <w:szCs w:val="24"/>
        </w:rPr>
        <w:t xml:space="preserve"> </w:t>
      </w:r>
      <w:r>
        <w:rPr>
          <w:rFonts w:ascii="Times New Roman" w:hAnsi="Times New Roman" w:cs="Times New Roman"/>
          <w:sz w:val="24"/>
          <w:szCs w:val="24"/>
        </w:rPr>
        <w:t>peut être</w:t>
      </w:r>
      <w:r w:rsidRPr="00596566">
        <w:rPr>
          <w:rFonts w:ascii="Times New Roman" w:hAnsi="Times New Roman" w:cs="Times New Roman"/>
          <w:sz w:val="24"/>
          <w:szCs w:val="24"/>
        </w:rPr>
        <w:t xml:space="preserve"> contraire à toute politique d’équilibre entre les modes que l’on appellera </w:t>
      </w:r>
      <w:r>
        <w:rPr>
          <w:rFonts w:ascii="Times New Roman" w:hAnsi="Times New Roman" w:cs="Times New Roman"/>
          <w:sz w:val="24"/>
          <w:szCs w:val="24"/>
        </w:rPr>
        <w:t xml:space="preserve">donc </w:t>
      </w:r>
      <w:r w:rsidRPr="00596566">
        <w:rPr>
          <w:rFonts w:ascii="Times New Roman" w:hAnsi="Times New Roman" w:cs="Times New Roman"/>
          <w:sz w:val="24"/>
          <w:szCs w:val="24"/>
        </w:rPr>
        <w:t>politique de ville cyclable. En effet par ailleurs, selon les travaux de Patricia Goût (1992) et ceux de Frédéric Héran et Ph. Tostain (1994)</w:t>
      </w:r>
      <w:r>
        <w:rPr>
          <w:rFonts w:ascii="Times New Roman" w:hAnsi="Times New Roman" w:cs="Times New Roman"/>
          <w:sz w:val="24"/>
          <w:szCs w:val="24"/>
        </w:rPr>
        <w:t>,</w:t>
      </w:r>
      <w:r w:rsidRPr="00596566">
        <w:rPr>
          <w:rFonts w:ascii="Times New Roman" w:hAnsi="Times New Roman" w:cs="Times New Roman"/>
          <w:sz w:val="24"/>
          <w:szCs w:val="24"/>
        </w:rPr>
        <w:t xml:space="preserve"> il existe un phénomène d’autogénération du trafic automobile. Car la croissance du trafic automobile implique une augmentation de la consommation d’espace, de la tolérance envers l’allongement des distances, ce qui provoque à son tour une augmentation des besoins de déplacement sur de longues distances  et une croissance du trafic automobile. </w:t>
      </w:r>
      <w:r>
        <w:rPr>
          <w:rFonts w:ascii="Times New Roman" w:hAnsi="Times New Roman" w:cs="Times New Roman"/>
          <w:sz w:val="24"/>
          <w:szCs w:val="24"/>
        </w:rPr>
        <w:t>Il est donc important dans une politique de ville cyclable, de veiller à la limitation à la fois de la vitesse et de l’accessibilité automobile, et aussi de développer les aménagements cyclables.</w:t>
      </w:r>
    </w:p>
    <w:p w:rsidR="00EC48C4" w:rsidRDefault="00EC48C4" w:rsidP="00EC48C4">
      <w:pPr>
        <w:spacing w:line="360" w:lineRule="auto"/>
        <w:jc w:val="both"/>
        <w:rPr>
          <w:rFonts w:ascii="Times New Roman" w:hAnsi="Times New Roman" w:cs="Times New Roman"/>
          <w:sz w:val="24"/>
          <w:szCs w:val="24"/>
        </w:rPr>
      </w:pPr>
    </w:p>
    <w:p w:rsidR="00EC48C4" w:rsidRDefault="00EC48C4" w:rsidP="00EC48C4">
      <w:pPr>
        <w:spacing w:line="360" w:lineRule="auto"/>
        <w:jc w:val="both"/>
        <w:rPr>
          <w:rFonts w:ascii="Times New Roman" w:hAnsi="Times New Roman" w:cs="Times New Roman"/>
          <w:sz w:val="24"/>
          <w:szCs w:val="24"/>
        </w:rPr>
      </w:pPr>
    </w:p>
    <w:p w:rsidR="00EC48C4" w:rsidRPr="00DA0FFC" w:rsidRDefault="00EC48C4" w:rsidP="00EC48C4">
      <w:pPr>
        <w:pStyle w:val="Paragraphedeliste"/>
        <w:numPr>
          <w:ilvl w:val="0"/>
          <w:numId w:val="3"/>
        </w:numPr>
        <w:spacing w:line="360" w:lineRule="auto"/>
        <w:jc w:val="both"/>
        <w:rPr>
          <w:rFonts w:ascii="Times New Roman" w:hAnsi="Times New Roman" w:cs="Times New Roman"/>
          <w:b/>
          <w:sz w:val="24"/>
          <w:szCs w:val="24"/>
        </w:rPr>
      </w:pPr>
      <w:r w:rsidRPr="00DA0FFC">
        <w:rPr>
          <w:rFonts w:ascii="Times New Roman" w:hAnsi="Times New Roman" w:cs="Times New Roman"/>
          <w:b/>
          <w:sz w:val="24"/>
          <w:szCs w:val="24"/>
        </w:rPr>
        <w:t>Les aménagements cyclables</w:t>
      </w:r>
    </w:p>
    <w:p w:rsidR="00EC48C4" w:rsidRDefault="00EC48C4" w:rsidP="00EC48C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Parler d’aménagement cyclable fait souvent penser aux aménagements séparatifs comme la piste cyclable ou la bande cyclable. D’après l</w:t>
      </w:r>
      <w:r w:rsidRPr="002078B8">
        <w:rPr>
          <w:rFonts w:ascii="Times New Roman" w:hAnsi="Times New Roman" w:cs="Times New Roman"/>
          <w:sz w:val="24"/>
          <w:szCs w:val="24"/>
        </w:rPr>
        <w:t xml:space="preserve">es articles R110- 2 et R431- 9 du </w:t>
      </w:r>
      <w:r>
        <w:rPr>
          <w:rFonts w:ascii="Times New Roman" w:hAnsi="Times New Roman" w:cs="Times New Roman"/>
          <w:sz w:val="24"/>
          <w:szCs w:val="24"/>
        </w:rPr>
        <w:t>C</w:t>
      </w:r>
      <w:r w:rsidRPr="002078B8">
        <w:rPr>
          <w:rFonts w:ascii="Times New Roman" w:hAnsi="Times New Roman" w:cs="Times New Roman"/>
          <w:sz w:val="24"/>
          <w:szCs w:val="24"/>
        </w:rPr>
        <w:t>ode de la route</w:t>
      </w:r>
      <w:r>
        <w:rPr>
          <w:rFonts w:ascii="Times New Roman" w:hAnsi="Times New Roman" w:cs="Times New Roman"/>
          <w:sz w:val="24"/>
          <w:szCs w:val="24"/>
        </w:rPr>
        <w:t>, Ce sont respectivement des aménagements où les cyclistes sont complètement isolés sur une chaussée qui leur est propre, ou bien disposent d’une voie qui leur est dédiée sur la chaussée qu’ils partagent avec les autres. Mais l</w:t>
      </w:r>
      <w:r w:rsidRPr="00DA0FFC">
        <w:rPr>
          <w:rFonts w:ascii="Times New Roman" w:hAnsi="Times New Roman" w:cs="Times New Roman"/>
          <w:sz w:val="24"/>
          <w:szCs w:val="24"/>
        </w:rPr>
        <w:t xml:space="preserve">es </w:t>
      </w:r>
      <w:r>
        <w:rPr>
          <w:rFonts w:ascii="Times New Roman" w:hAnsi="Times New Roman" w:cs="Times New Roman"/>
          <w:sz w:val="24"/>
          <w:szCs w:val="24"/>
        </w:rPr>
        <w:t xml:space="preserve">meilleurs </w:t>
      </w:r>
      <w:r w:rsidRPr="00DA0FFC">
        <w:rPr>
          <w:rFonts w:ascii="Times New Roman" w:hAnsi="Times New Roman" w:cs="Times New Roman"/>
          <w:sz w:val="24"/>
          <w:szCs w:val="24"/>
        </w:rPr>
        <w:t xml:space="preserve">aménagements cyclables ne </w:t>
      </w:r>
      <w:r>
        <w:rPr>
          <w:rFonts w:ascii="Times New Roman" w:hAnsi="Times New Roman" w:cs="Times New Roman"/>
          <w:sz w:val="24"/>
          <w:szCs w:val="24"/>
        </w:rPr>
        <w:t>sont</w:t>
      </w:r>
      <w:r w:rsidRPr="00DA0FFC">
        <w:rPr>
          <w:rFonts w:ascii="Times New Roman" w:hAnsi="Times New Roman" w:cs="Times New Roman"/>
          <w:sz w:val="24"/>
          <w:szCs w:val="24"/>
        </w:rPr>
        <w:t xml:space="preserve"> pas</w:t>
      </w:r>
      <w:r>
        <w:rPr>
          <w:rFonts w:ascii="Times New Roman" w:hAnsi="Times New Roman" w:cs="Times New Roman"/>
          <w:sz w:val="24"/>
          <w:szCs w:val="24"/>
        </w:rPr>
        <w:t xml:space="preserve"> forcément les</w:t>
      </w:r>
      <w:r w:rsidRPr="00DA0FFC">
        <w:rPr>
          <w:rFonts w:ascii="Times New Roman" w:hAnsi="Times New Roman" w:cs="Times New Roman"/>
          <w:sz w:val="24"/>
          <w:szCs w:val="24"/>
        </w:rPr>
        <w:t xml:space="preserve"> </w:t>
      </w:r>
      <w:r>
        <w:rPr>
          <w:rFonts w:ascii="Times New Roman" w:hAnsi="Times New Roman" w:cs="Times New Roman"/>
          <w:sz w:val="24"/>
          <w:szCs w:val="24"/>
        </w:rPr>
        <w:t xml:space="preserve">aménagements séparatifs. Les </w:t>
      </w:r>
      <w:r w:rsidRPr="00DA0FFC">
        <w:rPr>
          <w:rFonts w:ascii="Times New Roman" w:hAnsi="Times New Roman" w:cs="Times New Roman"/>
          <w:sz w:val="24"/>
          <w:szCs w:val="24"/>
        </w:rPr>
        <w:t xml:space="preserve">pistes cyclables </w:t>
      </w:r>
      <w:r>
        <w:rPr>
          <w:rFonts w:ascii="Times New Roman" w:hAnsi="Times New Roman" w:cs="Times New Roman"/>
          <w:sz w:val="24"/>
          <w:szCs w:val="24"/>
        </w:rPr>
        <w:t>par exemple</w:t>
      </w:r>
      <w:r w:rsidRPr="00DA0FFC">
        <w:rPr>
          <w:rFonts w:ascii="Times New Roman" w:hAnsi="Times New Roman" w:cs="Times New Roman"/>
          <w:sz w:val="24"/>
          <w:szCs w:val="24"/>
        </w:rPr>
        <w:t xml:space="preserve"> ne sont pas les </w:t>
      </w:r>
      <w:r>
        <w:rPr>
          <w:rFonts w:ascii="Times New Roman" w:hAnsi="Times New Roman" w:cs="Times New Roman"/>
          <w:sz w:val="24"/>
          <w:szCs w:val="24"/>
        </w:rPr>
        <w:t xml:space="preserve">dispositifs les </w:t>
      </w:r>
      <w:r w:rsidRPr="00DA0FFC">
        <w:rPr>
          <w:rFonts w:ascii="Times New Roman" w:hAnsi="Times New Roman" w:cs="Times New Roman"/>
          <w:sz w:val="24"/>
          <w:szCs w:val="24"/>
        </w:rPr>
        <w:t xml:space="preserve">plus sécurisants pour les cyclistes, et </w:t>
      </w:r>
      <w:r>
        <w:rPr>
          <w:rFonts w:ascii="Times New Roman" w:hAnsi="Times New Roman" w:cs="Times New Roman"/>
          <w:sz w:val="24"/>
          <w:szCs w:val="24"/>
        </w:rPr>
        <w:t>se révèlent d’ailleurs</w:t>
      </w:r>
      <w:r w:rsidRPr="00DA0FFC">
        <w:rPr>
          <w:rFonts w:ascii="Times New Roman" w:hAnsi="Times New Roman" w:cs="Times New Roman"/>
          <w:sz w:val="24"/>
          <w:szCs w:val="24"/>
        </w:rPr>
        <w:t xml:space="preserve"> plus coûteux que d’autres</w:t>
      </w:r>
      <w:r>
        <w:rPr>
          <w:rFonts w:ascii="Times New Roman" w:hAnsi="Times New Roman" w:cs="Times New Roman"/>
          <w:sz w:val="24"/>
          <w:szCs w:val="24"/>
        </w:rPr>
        <w:t xml:space="preserve"> aménagements</w:t>
      </w:r>
      <w:r w:rsidRPr="00DA0FFC">
        <w:rPr>
          <w:rFonts w:ascii="Times New Roman" w:hAnsi="Times New Roman" w:cs="Times New Roman"/>
          <w:sz w:val="24"/>
          <w:szCs w:val="24"/>
        </w:rPr>
        <w:t xml:space="preserve">. Une bande cyclable par exemple peut </w:t>
      </w:r>
      <w:r>
        <w:rPr>
          <w:rFonts w:ascii="Times New Roman" w:hAnsi="Times New Roman" w:cs="Times New Roman"/>
          <w:sz w:val="24"/>
          <w:szCs w:val="24"/>
        </w:rPr>
        <w:t>générer</w:t>
      </w:r>
      <w:r w:rsidRPr="00DA0FFC">
        <w:rPr>
          <w:rFonts w:ascii="Times New Roman" w:hAnsi="Times New Roman" w:cs="Times New Roman"/>
          <w:sz w:val="24"/>
          <w:szCs w:val="24"/>
        </w:rPr>
        <w:t xml:space="preserve"> près de deux fois moins </w:t>
      </w:r>
      <w:r>
        <w:rPr>
          <w:rFonts w:ascii="Times New Roman" w:hAnsi="Times New Roman" w:cs="Times New Roman"/>
          <w:sz w:val="24"/>
          <w:szCs w:val="24"/>
        </w:rPr>
        <w:t>d’accidents</w:t>
      </w:r>
      <w:r w:rsidRPr="00DA0FFC">
        <w:rPr>
          <w:rFonts w:ascii="Times New Roman" w:hAnsi="Times New Roman" w:cs="Times New Roman"/>
          <w:sz w:val="24"/>
          <w:szCs w:val="24"/>
        </w:rPr>
        <w:t xml:space="preserve"> que la piste cyclable qui présente des risques élevés au niveau des rabattements sur chaussée ou des intersections (Alan W</w:t>
      </w:r>
      <w:r w:rsidRPr="00A24EC6">
        <w:rPr>
          <w:rFonts w:ascii="Times New Roman" w:hAnsi="Times New Roman" w:cs="Times New Roman"/>
          <w:sz w:val="20"/>
          <w:szCs w:val="20"/>
        </w:rPr>
        <w:t>ACHTEL</w:t>
      </w:r>
      <w:r w:rsidRPr="00DA0FFC">
        <w:rPr>
          <w:rFonts w:ascii="Times New Roman" w:hAnsi="Times New Roman" w:cs="Times New Roman"/>
          <w:sz w:val="24"/>
          <w:szCs w:val="24"/>
        </w:rPr>
        <w:t xml:space="preserve"> et Diana L</w:t>
      </w:r>
      <w:r w:rsidRPr="00A24EC6">
        <w:rPr>
          <w:rFonts w:ascii="Times New Roman" w:hAnsi="Times New Roman" w:cs="Times New Roman"/>
          <w:sz w:val="20"/>
          <w:szCs w:val="20"/>
        </w:rPr>
        <w:t>EWISTO</w:t>
      </w:r>
      <w:r w:rsidRPr="00DA0FFC">
        <w:rPr>
          <w:rFonts w:ascii="Times New Roman" w:hAnsi="Times New Roman" w:cs="Times New Roman"/>
          <w:sz w:val="24"/>
          <w:szCs w:val="24"/>
        </w:rPr>
        <w:t>, 1994</w:t>
      </w:r>
      <w:r>
        <w:rPr>
          <w:rFonts w:ascii="Times New Roman" w:hAnsi="Times New Roman" w:cs="Times New Roman"/>
          <w:sz w:val="24"/>
          <w:szCs w:val="24"/>
        </w:rPr>
        <w:t> : 8</w:t>
      </w:r>
      <w:r w:rsidRPr="00DA0FFC">
        <w:rPr>
          <w:rFonts w:ascii="Times New Roman" w:hAnsi="Times New Roman" w:cs="Times New Roman"/>
          <w:sz w:val="24"/>
          <w:szCs w:val="24"/>
        </w:rPr>
        <w:t>; Héran 1995).</w:t>
      </w:r>
      <w:r>
        <w:rPr>
          <w:rFonts w:ascii="Times New Roman" w:hAnsi="Times New Roman" w:cs="Times New Roman"/>
          <w:sz w:val="24"/>
          <w:szCs w:val="24"/>
        </w:rPr>
        <w:t xml:space="preserve"> La mise en place de zones de trafic limité s’avère le meilleur aménagement cyclable. La zone 30 par exemple ne se définit pas seulement par la réduction de la vitesse de circulation à 30 km/heure. C’est un véritable aménagement favorisant l’accessibilité cycliste car toute zone 30 implique en plus de la limitation de la vitesse, l’autorisation du double sens cyclable, sauf précision particulière de l’autorité détentrice du pouvoir de circulation (Articles R110 du Code de la Route cité par CERTU, 2011). Les aires piétonnes et les zones de rencontre, comme l’illustre le tableau suivant (CERTU, 2011a) sont davantage favorables aux cyclistes. Ce tableau récapitule les implications de ces trois types de ZTL en termes d’accessibilité aux différents usagers, de signalisation, d’aménagement et de stationnement. On y remarque par exemple qu’il n’est pas nécessaire de faire d’autres aménagements cyclables, ni pour les zones de rencontre ni pour les zones 30, sauf pour ces derniers, s’il en fallait pour favoriser le double-sens cyclable. Mais on peut aussi y remarquer que le stationnement cycliste est fortement recommandé dans ces zones, et que tout stationnement automobile, en dehors des espaces aménagés pour, est à verbaliser.</w:t>
      </w:r>
    </w:p>
    <w:p w:rsidR="00EC48C4" w:rsidRDefault="00EC48C4" w:rsidP="00EC48C4">
      <w:pPr>
        <w:spacing w:line="360" w:lineRule="auto"/>
        <w:jc w:val="both"/>
        <w:rPr>
          <w:rFonts w:ascii="Times New Roman" w:hAnsi="Times New Roman" w:cs="Times New Roman"/>
          <w:sz w:val="24"/>
          <w:szCs w:val="24"/>
        </w:rPr>
      </w:pPr>
    </w:p>
    <w:p w:rsidR="00EC48C4" w:rsidRPr="00B9150E" w:rsidRDefault="00EC48C4" w:rsidP="00EC48C4">
      <w:pPr>
        <w:pStyle w:val="Citation"/>
        <w:jc w:val="both"/>
        <w:rPr>
          <w:rStyle w:val="lev"/>
          <w:b/>
          <w:i w:val="0"/>
        </w:rPr>
        <w:sectPr w:rsidR="00EC48C4" w:rsidRPr="00B9150E" w:rsidSect="00AE64D6">
          <w:headerReference w:type="default" r:id="rId8"/>
          <w:footerReference w:type="default" r:id="rId9"/>
          <w:pgSz w:w="11906" w:h="16838"/>
          <w:pgMar w:top="1417" w:right="1417" w:bottom="1417" w:left="1417" w:header="708" w:footer="708" w:gutter="0"/>
          <w:cols w:space="708"/>
          <w:titlePg/>
          <w:docGrid w:linePitch="360"/>
        </w:sectPr>
      </w:pPr>
      <w:bookmarkStart w:id="5" w:name="_Toc422665057"/>
      <w:bookmarkStart w:id="6" w:name="_Toc422497481"/>
      <w:r w:rsidRPr="0071013F">
        <w:rPr>
          <w:rStyle w:val="Titre3Car"/>
          <w:i w:val="0"/>
        </w:rPr>
        <w:t>Figure N°4:   Caractéristiques de trois ZTL en villes</w:t>
      </w:r>
      <w:bookmarkEnd w:id="5"/>
      <w:r w:rsidRPr="00B9150E">
        <w:rPr>
          <w:rStyle w:val="lev"/>
          <w:i w:val="0"/>
        </w:rPr>
        <w:t>. Source : CERTU, 2011a</w:t>
      </w:r>
      <w:bookmarkEnd w:id="6"/>
    </w:p>
    <w:p w:rsidR="00EC48C4" w:rsidRDefault="00EC48C4" w:rsidP="00EC48C4">
      <w:pPr>
        <w:pStyle w:val="Citation"/>
        <w:jc w:val="both"/>
        <w:rPr>
          <w:rFonts w:ascii="Times New Roman" w:hAnsi="Times New Roman" w:cs="Times New Roman"/>
          <w:sz w:val="24"/>
          <w:szCs w:val="24"/>
        </w:rPr>
        <w:sectPr w:rsidR="00EC48C4" w:rsidSect="00AE64D6">
          <w:pgSz w:w="16838" w:h="11906" w:orient="landscape"/>
          <w:pgMar w:top="1418" w:right="1418" w:bottom="1418" w:left="1418" w:header="709" w:footer="709" w:gutter="0"/>
          <w:cols w:space="708"/>
          <w:titlePg/>
          <w:docGrid w:linePitch="360"/>
        </w:sectPr>
      </w:pPr>
      <w:bookmarkStart w:id="7" w:name="_Toc422497482"/>
      <w:r>
        <w:rPr>
          <w:rFonts w:ascii="Times New Roman" w:hAnsi="Times New Roman" w:cs="Times New Roman"/>
          <w:noProof/>
          <w:sz w:val="24"/>
          <w:szCs w:val="24"/>
          <w:lang w:eastAsia="fr-FR"/>
        </w:rPr>
        <w:lastRenderedPageBreak/>
        <w:drawing>
          <wp:inline distT="0" distB="0" distL="0" distR="0" wp14:anchorId="6446A024" wp14:editId="047A637E">
            <wp:extent cx="8401050" cy="5942965"/>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8838" cy="5948474"/>
                    </a:xfrm>
                    <a:prstGeom prst="rect">
                      <a:avLst/>
                    </a:prstGeom>
                    <a:noFill/>
                  </pic:spPr>
                </pic:pic>
              </a:graphicData>
            </a:graphic>
          </wp:inline>
        </w:drawing>
      </w:r>
      <w:bookmarkEnd w:id="7"/>
    </w:p>
    <w:p w:rsidR="00EC48C4" w:rsidRPr="0005746F" w:rsidRDefault="00EC48C4" w:rsidP="00EC48C4">
      <w:pPr>
        <w:pStyle w:val="Paragraphedeliste"/>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Les services aux cyclistes</w:t>
      </w:r>
    </w:p>
    <w:p w:rsidR="00EC48C4" w:rsidRDefault="00EC48C4" w:rsidP="00EC48C4">
      <w:pPr>
        <w:spacing w:line="360" w:lineRule="auto"/>
        <w:jc w:val="both"/>
        <w:rPr>
          <w:rFonts w:ascii="Times New Roman" w:hAnsi="Times New Roman" w:cs="Times New Roman"/>
          <w:sz w:val="24"/>
          <w:szCs w:val="24"/>
        </w:rPr>
      </w:pPr>
      <w:r w:rsidRPr="00990740">
        <w:rPr>
          <w:rFonts w:ascii="Times New Roman" w:hAnsi="Times New Roman" w:cs="Times New Roman"/>
          <w:sz w:val="24"/>
          <w:szCs w:val="24"/>
        </w:rPr>
        <w:t>U</w:t>
      </w:r>
      <w:r>
        <w:rPr>
          <w:rFonts w:ascii="Times New Roman" w:hAnsi="Times New Roman" w:cs="Times New Roman"/>
          <w:sz w:val="24"/>
          <w:szCs w:val="24"/>
        </w:rPr>
        <w:t xml:space="preserve">n des </w:t>
      </w:r>
      <w:r w:rsidRPr="00990740">
        <w:rPr>
          <w:rFonts w:ascii="Times New Roman" w:hAnsi="Times New Roman" w:cs="Times New Roman"/>
          <w:sz w:val="24"/>
          <w:szCs w:val="24"/>
        </w:rPr>
        <w:t>frein</w:t>
      </w:r>
      <w:r>
        <w:rPr>
          <w:rFonts w:ascii="Times New Roman" w:hAnsi="Times New Roman" w:cs="Times New Roman"/>
          <w:sz w:val="24"/>
          <w:szCs w:val="24"/>
        </w:rPr>
        <w:t>s majeurs</w:t>
      </w:r>
      <w:r w:rsidRPr="00990740">
        <w:rPr>
          <w:rFonts w:ascii="Times New Roman" w:hAnsi="Times New Roman" w:cs="Times New Roman"/>
          <w:sz w:val="24"/>
          <w:szCs w:val="24"/>
        </w:rPr>
        <w:t xml:space="preserve"> à la pratique du vélo, qu’il est important de prendre en compte pour réussir une politique de ville cyclable, concerne le défaut de stationnement sécurisé, en particulier à domicile et sur les lieux de travail, mais aussi à proximité des commerces</w:t>
      </w:r>
      <w:r>
        <w:rPr>
          <w:rFonts w:ascii="Times New Roman" w:hAnsi="Times New Roman" w:cs="Times New Roman"/>
          <w:sz w:val="24"/>
          <w:szCs w:val="24"/>
        </w:rPr>
        <w:t xml:space="preserve"> (Héran 2009b)</w:t>
      </w:r>
      <w:r w:rsidRPr="00990740">
        <w:rPr>
          <w:rFonts w:ascii="Times New Roman" w:hAnsi="Times New Roman" w:cs="Times New Roman"/>
          <w:sz w:val="24"/>
          <w:szCs w:val="24"/>
        </w:rPr>
        <w:t>. La loi ou la règlementation prescrivent dans plusieurs pays, y compris en France, l’aménagement d’espaces dédiés aux vélos dans les immeubles d’habitation et les bureaux</w:t>
      </w:r>
      <w:r>
        <w:rPr>
          <w:rStyle w:val="Appelnotedebasdep"/>
          <w:rFonts w:ascii="Times New Roman" w:hAnsi="Times New Roman" w:cs="Times New Roman"/>
          <w:sz w:val="24"/>
          <w:szCs w:val="24"/>
        </w:rPr>
        <w:footnoteReference w:id="1"/>
      </w:r>
      <w:r w:rsidRPr="00990740">
        <w:rPr>
          <w:rFonts w:ascii="Times New Roman" w:hAnsi="Times New Roman" w:cs="Times New Roman"/>
          <w:sz w:val="24"/>
          <w:szCs w:val="24"/>
        </w:rPr>
        <w:t>.</w:t>
      </w:r>
    </w:p>
    <w:p w:rsidR="00EC48C4" w:rsidRDefault="00EC48C4" w:rsidP="00EC48C4">
      <w:pPr>
        <w:spacing w:line="360" w:lineRule="auto"/>
        <w:jc w:val="both"/>
        <w:rPr>
          <w:rFonts w:ascii="Times New Roman" w:hAnsi="Times New Roman" w:cs="Times New Roman"/>
          <w:sz w:val="24"/>
          <w:szCs w:val="24"/>
        </w:rPr>
      </w:pPr>
      <w:r w:rsidRPr="00990740">
        <w:rPr>
          <w:rFonts w:ascii="Times New Roman" w:hAnsi="Times New Roman" w:cs="Times New Roman"/>
          <w:sz w:val="24"/>
          <w:szCs w:val="24"/>
        </w:rPr>
        <w:t xml:space="preserve">L’aménagement des arceaux de stationnement vélos intégrés à la voirie quant à lui devrait favoriser en particulier les commerces de centre-ville et de proximité, en même temps qu’il permet le stationnement temporaire en journée. </w:t>
      </w:r>
      <w:r>
        <w:rPr>
          <w:rFonts w:ascii="Times New Roman" w:hAnsi="Times New Roman" w:cs="Times New Roman"/>
          <w:sz w:val="24"/>
          <w:szCs w:val="24"/>
        </w:rPr>
        <w:t>Pour sécuriser ce stationnement temporaire, on pourrait penser à des verrous cadenassés. Mais leur coût n’est pas toujours à la portée des cyclistes</w:t>
      </w:r>
      <w:r w:rsidRPr="00990740">
        <w:rPr>
          <w:rFonts w:ascii="Times New Roman" w:hAnsi="Times New Roman" w:cs="Times New Roman"/>
          <w:sz w:val="24"/>
          <w:szCs w:val="24"/>
        </w:rPr>
        <w:t xml:space="preserve">. </w:t>
      </w:r>
    </w:p>
    <w:p w:rsidR="00EC48C4" w:rsidRDefault="00EC48C4" w:rsidP="00EC4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L’offre de stationnement dans l’espace public au travail ou en ville à travers l’aménagement de ces arceaux constitue un service aux cyclistes. Mais il est possible d’aller plus loin dans cette fourniture de services aux cyclistes, en offrant par exemple des garages et des consignes à vélo comme c’est le cas dans plusieurs villes en Europe mais aussi en France. </w:t>
      </w:r>
    </w:p>
    <w:p w:rsidR="00EC48C4" w:rsidRDefault="00EC48C4" w:rsidP="00EC4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D’autres services aux cyclistes peuvent concerner la réparation ou la maintenance des vélos dans des ateliers. Mais un autre service aux cyclistes a le vent en poupe actuellement dans les villes françaises : le système de vélo en libre-service.  </w:t>
      </w:r>
    </w:p>
    <w:p w:rsidR="00EC48C4" w:rsidRDefault="00EC48C4" w:rsidP="00EC48C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D’après Ravalet et al. (2008), l</w:t>
      </w:r>
      <w:r w:rsidRPr="00CC134B">
        <w:rPr>
          <w:rFonts w:ascii="Times New Roman" w:hAnsi="Times New Roman" w:cs="Times New Roman"/>
          <w:sz w:val="24"/>
          <w:szCs w:val="24"/>
        </w:rPr>
        <w:t xml:space="preserve">e système de vélos en libre-service (VLS) est un service </w:t>
      </w:r>
      <w:r>
        <w:rPr>
          <w:rFonts w:ascii="Times New Roman" w:hAnsi="Times New Roman" w:cs="Times New Roman"/>
          <w:sz w:val="24"/>
          <w:szCs w:val="24"/>
        </w:rPr>
        <w:t>offert au cycliste</w:t>
      </w:r>
      <w:r w:rsidRPr="00CC134B">
        <w:rPr>
          <w:rFonts w:ascii="Times New Roman" w:hAnsi="Times New Roman" w:cs="Times New Roman"/>
          <w:sz w:val="24"/>
          <w:szCs w:val="24"/>
        </w:rPr>
        <w:t xml:space="preserve"> tout comme le gardiennage, la location de courte ou de longue durée, ou encore les ateliers participatifs de réparation de vélo. Il permet de prendre un vélo dans l’une des nombreuses stations réparties sur le territoire de la ville et de le déposer après avoir fait sa course, dans n’importe quelle station, la même ou une autre. Cela nécessite un abonnement ou une carte de crédit, et ne coûte qu’une somme modique pour l’usager, alors que le gestionnaire y investit beaucoup. Le financement des VLS est donc généralement compensé en grande partie par des marchés publicitaires. Deux groupes se taillent la part d</w:t>
      </w:r>
      <w:r>
        <w:rPr>
          <w:rFonts w:ascii="Times New Roman" w:hAnsi="Times New Roman" w:cs="Times New Roman"/>
          <w:sz w:val="24"/>
          <w:szCs w:val="24"/>
        </w:rPr>
        <w:t>u</w:t>
      </w:r>
      <w:r w:rsidRPr="00CC134B">
        <w:rPr>
          <w:rFonts w:ascii="Times New Roman" w:hAnsi="Times New Roman" w:cs="Times New Roman"/>
          <w:sz w:val="24"/>
          <w:szCs w:val="24"/>
        </w:rPr>
        <w:t xml:space="preserve"> lion comme concessionnaires de projets VLS en France : JCDecaux et Clear Channel. Ce système permet de ne pas se soucier du vol de vélo qui est l’un des grands motifs dissuasifs à la pratique du vélo en ville, et permet de combiner des déplacements à vélo avec les TC, la voiture particulière et la marche. Avec les VLS, les cyclistes jouissent aussi d’une image « branchée » (Ravalet et al, 2008). Les VLS offrant ainsi la possibilité à des citadins </w:t>
      </w:r>
      <w:r>
        <w:rPr>
          <w:rFonts w:ascii="Times New Roman" w:hAnsi="Times New Roman" w:cs="Times New Roman"/>
          <w:sz w:val="24"/>
          <w:szCs w:val="24"/>
        </w:rPr>
        <w:t xml:space="preserve">apparemment </w:t>
      </w:r>
      <w:r w:rsidRPr="00CC134B">
        <w:rPr>
          <w:rFonts w:ascii="Times New Roman" w:hAnsi="Times New Roman" w:cs="Times New Roman"/>
          <w:sz w:val="24"/>
          <w:szCs w:val="24"/>
        </w:rPr>
        <w:t>aisés</w:t>
      </w:r>
      <w:r>
        <w:rPr>
          <w:rFonts w:ascii="Times New Roman" w:hAnsi="Times New Roman" w:cs="Times New Roman"/>
          <w:sz w:val="24"/>
          <w:szCs w:val="24"/>
        </w:rPr>
        <w:t xml:space="preserve"> (parce que cela revient généralement plus cher qu’un vélo personnel)</w:t>
      </w:r>
      <w:r w:rsidRPr="00CC134B">
        <w:rPr>
          <w:rFonts w:ascii="Times New Roman" w:hAnsi="Times New Roman" w:cs="Times New Roman"/>
          <w:sz w:val="24"/>
          <w:szCs w:val="24"/>
        </w:rPr>
        <w:t>, qu’on peut supposer non captifs, de se déplacer à vélo dans la ville, leur mise en place et surtout le succès de leur exploitat</w:t>
      </w:r>
      <w:r>
        <w:rPr>
          <w:rFonts w:ascii="Times New Roman" w:hAnsi="Times New Roman" w:cs="Times New Roman"/>
          <w:sz w:val="24"/>
          <w:szCs w:val="24"/>
        </w:rPr>
        <w:t>ion participent sans doute d’une certaine bonification de l’image du vélo en ville.</w:t>
      </w:r>
    </w:p>
    <w:p w:rsidR="00EC48C4" w:rsidRDefault="00EC48C4" w:rsidP="00EC48C4">
      <w:pPr>
        <w:spacing w:line="360" w:lineRule="auto"/>
        <w:jc w:val="both"/>
        <w:rPr>
          <w:rFonts w:ascii="Times New Roman" w:hAnsi="Times New Roman" w:cs="Times New Roman"/>
          <w:sz w:val="24"/>
          <w:szCs w:val="24"/>
        </w:rPr>
      </w:pPr>
      <w:r w:rsidRPr="00990740">
        <w:rPr>
          <w:rFonts w:ascii="Times New Roman" w:hAnsi="Times New Roman" w:cs="Times New Roman"/>
          <w:sz w:val="24"/>
          <w:szCs w:val="24"/>
        </w:rPr>
        <w:t>Une politique de ville cyclable nécessite donc la limitation de l’accessibilité automobile et</w:t>
      </w:r>
      <w:r>
        <w:rPr>
          <w:rFonts w:ascii="Times New Roman" w:hAnsi="Times New Roman" w:cs="Times New Roman"/>
          <w:sz w:val="24"/>
          <w:szCs w:val="24"/>
        </w:rPr>
        <w:t xml:space="preserve">, </w:t>
      </w:r>
      <w:r w:rsidRPr="00990740">
        <w:rPr>
          <w:rFonts w:ascii="Times New Roman" w:hAnsi="Times New Roman" w:cs="Times New Roman"/>
          <w:sz w:val="24"/>
          <w:szCs w:val="24"/>
        </w:rPr>
        <w:t>par ricochet</w:t>
      </w:r>
      <w:r>
        <w:rPr>
          <w:rFonts w:ascii="Times New Roman" w:hAnsi="Times New Roman" w:cs="Times New Roman"/>
          <w:sz w:val="24"/>
          <w:szCs w:val="24"/>
        </w:rPr>
        <w:t>,</w:t>
      </w:r>
      <w:r w:rsidRPr="00990740">
        <w:rPr>
          <w:rFonts w:ascii="Times New Roman" w:hAnsi="Times New Roman" w:cs="Times New Roman"/>
          <w:sz w:val="24"/>
          <w:szCs w:val="24"/>
        </w:rPr>
        <w:t xml:space="preserve"> l’apaisement de la circulation comme condition primordiale de </w:t>
      </w:r>
      <w:r>
        <w:rPr>
          <w:rFonts w:ascii="Times New Roman" w:hAnsi="Times New Roman" w:cs="Times New Roman"/>
          <w:sz w:val="24"/>
          <w:szCs w:val="24"/>
        </w:rPr>
        <w:t>la mise en sécurité</w:t>
      </w:r>
      <w:r w:rsidRPr="00990740">
        <w:rPr>
          <w:rFonts w:ascii="Times New Roman" w:hAnsi="Times New Roman" w:cs="Times New Roman"/>
          <w:sz w:val="24"/>
          <w:szCs w:val="24"/>
        </w:rPr>
        <w:t xml:space="preserve"> des cyclistes potentiels. A cela s’ajoutent les aménagements cyclables, la sécurisation du stationnement et le développement des services</w:t>
      </w:r>
      <w:r>
        <w:rPr>
          <w:rFonts w:ascii="Times New Roman" w:hAnsi="Times New Roman" w:cs="Times New Roman"/>
          <w:sz w:val="24"/>
          <w:szCs w:val="24"/>
        </w:rPr>
        <w:t xml:space="preserve"> aux cyclistes, tout ceci dans un contexte de multimodalité qui offre des possibilités d’intermodalité. Cette politique de ville cyclable s’appuie sur </w:t>
      </w:r>
      <w:r w:rsidRPr="00990740">
        <w:rPr>
          <w:rFonts w:ascii="Times New Roman" w:hAnsi="Times New Roman" w:cs="Times New Roman"/>
          <w:sz w:val="24"/>
          <w:szCs w:val="24"/>
        </w:rPr>
        <w:t xml:space="preserve">une communication soutenue et </w:t>
      </w:r>
      <w:r>
        <w:rPr>
          <w:rFonts w:ascii="Times New Roman" w:hAnsi="Times New Roman" w:cs="Times New Roman"/>
          <w:sz w:val="24"/>
          <w:szCs w:val="24"/>
        </w:rPr>
        <w:t xml:space="preserve">nécessite </w:t>
      </w:r>
      <w:r w:rsidRPr="00990740">
        <w:rPr>
          <w:rFonts w:ascii="Times New Roman" w:hAnsi="Times New Roman" w:cs="Times New Roman"/>
          <w:sz w:val="24"/>
          <w:szCs w:val="24"/>
        </w:rPr>
        <w:t>un portage politique fort (Héran, 2009</w:t>
      </w:r>
      <w:r>
        <w:rPr>
          <w:rFonts w:ascii="Times New Roman" w:hAnsi="Times New Roman" w:cs="Times New Roman"/>
          <w:sz w:val="24"/>
          <w:szCs w:val="24"/>
        </w:rPr>
        <w:t> ; 2014</w:t>
      </w:r>
      <w:r w:rsidRPr="00990740">
        <w:rPr>
          <w:rFonts w:ascii="Times New Roman" w:hAnsi="Times New Roman" w:cs="Times New Roman"/>
          <w:sz w:val="24"/>
          <w:szCs w:val="24"/>
        </w:rPr>
        <w:t xml:space="preserve">). </w:t>
      </w:r>
      <w:r>
        <w:rPr>
          <w:rFonts w:ascii="Times New Roman" w:hAnsi="Times New Roman" w:cs="Times New Roman"/>
          <w:sz w:val="24"/>
          <w:szCs w:val="24"/>
        </w:rPr>
        <w:t xml:space="preserve">Elle </w:t>
      </w:r>
      <w:r w:rsidRPr="00990740">
        <w:rPr>
          <w:rFonts w:ascii="Times New Roman" w:hAnsi="Times New Roman" w:cs="Times New Roman"/>
          <w:sz w:val="24"/>
          <w:szCs w:val="24"/>
        </w:rPr>
        <w:t xml:space="preserve"> devrait </w:t>
      </w:r>
      <w:r>
        <w:rPr>
          <w:rFonts w:ascii="Times New Roman" w:hAnsi="Times New Roman" w:cs="Times New Roman"/>
          <w:sz w:val="24"/>
          <w:szCs w:val="24"/>
        </w:rPr>
        <w:t>également intégrer</w:t>
      </w:r>
      <w:r w:rsidRPr="00990740">
        <w:rPr>
          <w:rFonts w:ascii="Times New Roman" w:hAnsi="Times New Roman" w:cs="Times New Roman"/>
          <w:sz w:val="24"/>
          <w:szCs w:val="24"/>
        </w:rPr>
        <w:t xml:space="preserve"> des mesures d’aides financières ou de facilités fiscales liées à l’utilisation ou à l’équipement en vélo à assistance électrique ou en vélo ordinaire, notamment pour les déplacements domicile-travail et </w:t>
      </w:r>
      <w:r>
        <w:rPr>
          <w:rFonts w:ascii="Times New Roman" w:hAnsi="Times New Roman" w:cs="Times New Roman"/>
          <w:sz w:val="24"/>
          <w:szCs w:val="24"/>
        </w:rPr>
        <w:t>les déplacements professionnels,</w:t>
      </w:r>
      <w:r w:rsidRPr="00990740">
        <w:rPr>
          <w:rFonts w:ascii="Times New Roman" w:hAnsi="Times New Roman" w:cs="Times New Roman"/>
          <w:sz w:val="24"/>
          <w:szCs w:val="24"/>
        </w:rPr>
        <w:t xml:space="preserve"> </w:t>
      </w:r>
      <w:r>
        <w:rPr>
          <w:rFonts w:ascii="Times New Roman" w:hAnsi="Times New Roman" w:cs="Times New Roman"/>
          <w:sz w:val="24"/>
          <w:szCs w:val="24"/>
        </w:rPr>
        <w:t>c</w:t>
      </w:r>
      <w:r w:rsidRPr="00990740">
        <w:rPr>
          <w:rFonts w:ascii="Times New Roman" w:hAnsi="Times New Roman" w:cs="Times New Roman"/>
          <w:sz w:val="24"/>
          <w:szCs w:val="24"/>
        </w:rPr>
        <w:t xml:space="preserve">es mesures </w:t>
      </w:r>
      <w:r>
        <w:rPr>
          <w:rFonts w:ascii="Times New Roman" w:hAnsi="Times New Roman" w:cs="Times New Roman"/>
          <w:sz w:val="24"/>
          <w:szCs w:val="24"/>
        </w:rPr>
        <w:t>ayant</w:t>
      </w:r>
      <w:r w:rsidRPr="00990740">
        <w:rPr>
          <w:rFonts w:ascii="Times New Roman" w:hAnsi="Times New Roman" w:cs="Times New Roman"/>
          <w:sz w:val="24"/>
          <w:szCs w:val="24"/>
        </w:rPr>
        <w:t xml:space="preserve"> fait leurs preuves dans des pays où se retrouvent aujourd’hui de nombreuses villes cyclables (Certu, 201</w:t>
      </w:r>
      <w:r>
        <w:rPr>
          <w:rFonts w:ascii="Times New Roman" w:hAnsi="Times New Roman" w:cs="Times New Roman"/>
          <w:sz w:val="24"/>
          <w:szCs w:val="24"/>
        </w:rPr>
        <w:t>2</w:t>
      </w:r>
      <w:r w:rsidRPr="00990740">
        <w:rPr>
          <w:rFonts w:ascii="Times New Roman" w:hAnsi="Times New Roman" w:cs="Times New Roman"/>
          <w:sz w:val="24"/>
          <w:szCs w:val="24"/>
        </w:rPr>
        <w:t>).</w:t>
      </w:r>
      <w:r>
        <w:rPr>
          <w:rFonts w:ascii="Times New Roman" w:hAnsi="Times New Roman" w:cs="Times New Roman"/>
          <w:sz w:val="24"/>
          <w:szCs w:val="24"/>
        </w:rPr>
        <w:t xml:space="preserve"> </w:t>
      </w:r>
    </w:p>
    <w:p w:rsidR="00634DE3" w:rsidRDefault="00EC48C4" w:rsidP="00EC48C4">
      <w:r>
        <w:rPr>
          <w:rFonts w:ascii="Times New Roman" w:hAnsi="Times New Roman" w:cs="Times New Roman"/>
          <w:sz w:val="24"/>
          <w:szCs w:val="24"/>
        </w:rPr>
        <w:t>Mais une ville cyclable est-elle toujours cyclée ? Autrement dit, si mettre en place une politique de ville cyclable semble nécessaire pour favoriser la pratique du vélo en ville, cela suffit-il toujours pour que cette pratique soit effective ? Il y a-t-il d’autres facteurs à prendre en compte ?</w:t>
      </w:r>
      <w:bookmarkStart w:id="8" w:name="_GoBack"/>
      <w:bookmarkEnd w:id="8"/>
    </w:p>
    <w:sectPr w:rsidR="00634D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8C4" w:rsidRDefault="00EC48C4" w:rsidP="00EC48C4">
      <w:pPr>
        <w:spacing w:after="0" w:line="240" w:lineRule="auto"/>
      </w:pPr>
      <w:r>
        <w:separator/>
      </w:r>
    </w:p>
  </w:endnote>
  <w:endnote w:type="continuationSeparator" w:id="0">
    <w:p w:rsidR="00EC48C4" w:rsidRDefault="00EC48C4" w:rsidP="00EC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C4" w:rsidRPr="00A34320" w:rsidRDefault="00EC48C4">
    <w:pPr>
      <w:pStyle w:val="En-tte"/>
      <w:pBdr>
        <w:top w:val="single" w:sz="6" w:space="10" w:color="5B9BD5" w:themeColor="accent1"/>
      </w:pBdr>
      <w:spacing w:before="240"/>
      <w:jc w:val="center"/>
    </w:pPr>
  </w:p>
  <w:p w:rsidR="00EC48C4" w:rsidRDefault="00EC48C4" w:rsidP="00E9362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8C4" w:rsidRDefault="00EC48C4" w:rsidP="00EC48C4">
      <w:pPr>
        <w:spacing w:after="0" w:line="240" w:lineRule="auto"/>
      </w:pPr>
      <w:r>
        <w:separator/>
      </w:r>
    </w:p>
  </w:footnote>
  <w:footnote w:type="continuationSeparator" w:id="0">
    <w:p w:rsidR="00EC48C4" w:rsidRDefault="00EC48C4" w:rsidP="00EC48C4">
      <w:pPr>
        <w:spacing w:after="0" w:line="240" w:lineRule="auto"/>
      </w:pPr>
      <w:r>
        <w:continuationSeparator/>
      </w:r>
    </w:p>
  </w:footnote>
  <w:footnote w:id="1">
    <w:p w:rsidR="00EC48C4" w:rsidRPr="00F77319" w:rsidRDefault="00EC48C4" w:rsidP="00EC48C4">
      <w:pPr>
        <w:spacing w:after="0" w:line="240" w:lineRule="auto"/>
        <w:rPr>
          <w:rFonts w:ascii="Times New Roman" w:hAnsi="Times New Roman" w:cs="Times New Roman"/>
          <w:sz w:val="20"/>
          <w:szCs w:val="20"/>
        </w:rPr>
      </w:pPr>
      <w:r w:rsidRPr="00F77319">
        <w:rPr>
          <w:rStyle w:val="Appelnotedebasdep"/>
          <w:rFonts w:ascii="Times New Roman" w:hAnsi="Times New Roman" w:cs="Times New Roman"/>
          <w:sz w:val="20"/>
          <w:szCs w:val="20"/>
        </w:rPr>
        <w:footnoteRef/>
      </w:r>
      <w:r w:rsidRPr="00F77319">
        <w:rPr>
          <w:rFonts w:ascii="Times New Roman" w:hAnsi="Times New Roman" w:cs="Times New Roman"/>
          <w:sz w:val="20"/>
          <w:szCs w:val="20"/>
        </w:rPr>
        <w:t xml:space="preserve"> </w:t>
      </w:r>
      <w:r w:rsidRPr="00F77319">
        <w:rPr>
          <w:rFonts w:ascii="Times New Roman" w:hAnsi="Times New Roman" w:cs="Times New Roman"/>
          <w:color w:val="333333"/>
          <w:sz w:val="20"/>
          <w:szCs w:val="20"/>
        </w:rPr>
        <w:t>Sources</w:t>
      </w:r>
      <w:r w:rsidRPr="00F77319">
        <w:rPr>
          <w:rFonts w:ascii="Times New Roman" w:hAnsi="Times New Roman" w:cs="Times New Roman" w:hint="cs"/>
          <w:color w:val="333333"/>
          <w:sz w:val="20"/>
          <w:szCs w:val="20"/>
        </w:rPr>
        <w:t> </w:t>
      </w:r>
      <w:r w:rsidRPr="00F77319">
        <w:rPr>
          <w:rFonts w:ascii="Times New Roman" w:hAnsi="Times New Roman" w:cs="Times New Roman"/>
          <w:color w:val="333333"/>
          <w:sz w:val="20"/>
          <w:szCs w:val="20"/>
        </w:rPr>
        <w:t xml:space="preserve">: </w:t>
      </w:r>
      <w:r w:rsidRPr="00F77319">
        <w:rPr>
          <w:rFonts w:ascii="Times New Roman" w:hAnsi="Times New Roman" w:cs="Times New Roman"/>
          <w:sz w:val="20"/>
          <w:szCs w:val="20"/>
        </w:rPr>
        <w:fldChar w:fldCharType="begin"/>
      </w:r>
      <w:r w:rsidRPr="00F77319">
        <w:rPr>
          <w:rFonts w:ascii="Times New Roman" w:hAnsi="Times New Roman" w:cs="Times New Roman"/>
          <w:sz w:val="20"/>
          <w:szCs w:val="20"/>
        </w:rPr>
        <w:instrText xml:space="preserve"> HYPERLINK "http://www.territoires.gouv.fr/velos-stationnement-securise-dans-les-batiments  </w:instrText>
      </w:r>
    </w:p>
    <w:p w:rsidR="00EC48C4" w:rsidRPr="00F77319" w:rsidRDefault="00EC48C4" w:rsidP="00EC48C4">
      <w:pPr>
        <w:spacing w:after="0" w:line="240" w:lineRule="auto"/>
        <w:rPr>
          <w:rStyle w:val="Lienhypertexte"/>
          <w:rFonts w:ascii="Times New Roman" w:hAnsi="Times New Roman" w:cs="Times New Roman"/>
          <w:sz w:val="20"/>
          <w:szCs w:val="20"/>
        </w:rPr>
      </w:pPr>
      <w:r w:rsidRPr="00F77319">
        <w:rPr>
          <w:rFonts w:ascii="Times New Roman" w:hAnsi="Times New Roman" w:cs="Times New Roman"/>
          <w:sz w:val="20"/>
          <w:szCs w:val="20"/>
        </w:rPr>
        <w:instrText>consult</w:instrText>
      </w:r>
      <w:r w:rsidRPr="00F77319">
        <w:rPr>
          <w:rFonts w:ascii="Times New Roman" w:hAnsi="Times New Roman" w:cs="Times New Roman" w:hint="cs"/>
          <w:sz w:val="20"/>
          <w:szCs w:val="20"/>
        </w:rPr>
        <w:instrText>é</w:instrText>
      </w:r>
      <w:r w:rsidRPr="00F77319">
        <w:rPr>
          <w:rFonts w:ascii="Times New Roman" w:hAnsi="Times New Roman" w:cs="Times New Roman"/>
          <w:sz w:val="20"/>
          <w:szCs w:val="20"/>
        </w:rPr>
        <w:instrText xml:space="preserve"> le19" </w:instrText>
      </w:r>
      <w:r w:rsidRPr="00F77319">
        <w:rPr>
          <w:rFonts w:ascii="Times New Roman" w:hAnsi="Times New Roman" w:cs="Times New Roman"/>
          <w:sz w:val="20"/>
          <w:szCs w:val="20"/>
        </w:rPr>
        <w:fldChar w:fldCharType="separate"/>
      </w:r>
      <w:r w:rsidRPr="00F77319">
        <w:rPr>
          <w:rStyle w:val="Lienhypertexte"/>
          <w:rFonts w:ascii="Times New Roman" w:hAnsi="Times New Roman" w:cs="Times New Roman"/>
          <w:sz w:val="20"/>
          <w:szCs w:val="20"/>
        </w:rPr>
        <w:t xml:space="preserve">http://www.territoires.gouv.fr/velos-stationnement-securise-dans-les-batiments  </w:t>
      </w:r>
    </w:p>
    <w:p w:rsidR="00EC48C4" w:rsidRPr="00F77319" w:rsidRDefault="00EC48C4" w:rsidP="00EC48C4">
      <w:pPr>
        <w:spacing w:after="0" w:line="240" w:lineRule="auto"/>
        <w:rPr>
          <w:rFonts w:ascii="Times New Roman" w:hAnsi="Times New Roman" w:cs="Times New Roman"/>
          <w:color w:val="333333"/>
          <w:sz w:val="20"/>
          <w:szCs w:val="20"/>
        </w:rPr>
      </w:pPr>
      <w:r w:rsidRPr="00F77319">
        <w:rPr>
          <w:rStyle w:val="Lienhypertexte"/>
          <w:rFonts w:ascii="Times New Roman" w:hAnsi="Times New Roman" w:cs="Times New Roman"/>
          <w:sz w:val="20"/>
          <w:szCs w:val="20"/>
        </w:rPr>
        <w:t>consult</w:t>
      </w:r>
      <w:r w:rsidRPr="00F77319">
        <w:rPr>
          <w:rStyle w:val="Lienhypertexte"/>
          <w:rFonts w:ascii="Times New Roman" w:hAnsi="Times New Roman" w:cs="Times New Roman" w:hint="cs"/>
          <w:sz w:val="20"/>
          <w:szCs w:val="20"/>
        </w:rPr>
        <w:t>é</w:t>
      </w:r>
      <w:r w:rsidRPr="00F77319">
        <w:rPr>
          <w:rStyle w:val="Lienhypertexte"/>
          <w:rFonts w:ascii="Times New Roman" w:hAnsi="Times New Roman" w:cs="Times New Roman"/>
          <w:sz w:val="20"/>
          <w:szCs w:val="20"/>
        </w:rPr>
        <w:t xml:space="preserve"> le19</w:t>
      </w:r>
      <w:r w:rsidRPr="00F77319">
        <w:rPr>
          <w:rFonts w:ascii="Times New Roman" w:hAnsi="Times New Roman" w:cs="Times New Roman"/>
          <w:sz w:val="20"/>
          <w:szCs w:val="20"/>
        </w:rPr>
        <w:fldChar w:fldCharType="end"/>
      </w:r>
      <w:r w:rsidRPr="00F77319">
        <w:rPr>
          <w:rFonts w:ascii="Times New Roman" w:hAnsi="Times New Roman" w:cs="Times New Roman"/>
          <w:color w:val="333333"/>
          <w:sz w:val="20"/>
          <w:szCs w:val="20"/>
        </w:rPr>
        <w:t xml:space="preserve"> d</w:t>
      </w:r>
      <w:r w:rsidRPr="00F77319">
        <w:rPr>
          <w:rFonts w:ascii="Times New Roman" w:hAnsi="Times New Roman" w:cs="Times New Roman" w:hint="cs"/>
          <w:color w:val="333333"/>
          <w:sz w:val="20"/>
          <w:szCs w:val="20"/>
        </w:rPr>
        <w:t>é</w:t>
      </w:r>
      <w:r w:rsidRPr="00F77319">
        <w:rPr>
          <w:rFonts w:ascii="Times New Roman" w:hAnsi="Times New Roman" w:cs="Times New Roman"/>
          <w:color w:val="333333"/>
          <w:sz w:val="20"/>
          <w:szCs w:val="20"/>
        </w:rPr>
        <w:t>cembre 2014</w:t>
      </w:r>
      <w:r w:rsidRPr="00F77319">
        <w:rPr>
          <w:rFonts w:ascii="Times New Roman" w:hAnsi="Times New Roman" w:cs="Times New Roman" w:hint="cs"/>
          <w:color w:val="333333"/>
          <w:sz w:val="20"/>
          <w:szCs w:val="20"/>
        </w:rPr>
        <w:t> </w:t>
      </w:r>
      <w:r w:rsidRPr="00F77319">
        <w:rPr>
          <w:rFonts w:ascii="Times New Roman" w:hAnsi="Times New Roman" w:cs="Times New Roman"/>
          <w:color w:val="333333"/>
          <w:sz w:val="20"/>
          <w:szCs w:val="20"/>
        </w:rPr>
        <w:t>:</w:t>
      </w:r>
    </w:p>
    <w:p w:rsidR="00EC48C4" w:rsidRPr="00F77319" w:rsidRDefault="00EC48C4" w:rsidP="00EC48C4">
      <w:pPr>
        <w:numPr>
          <w:ilvl w:val="0"/>
          <w:numId w:val="2"/>
        </w:numPr>
        <w:spacing w:after="0" w:line="240" w:lineRule="auto"/>
        <w:ind w:left="0"/>
        <w:rPr>
          <w:rFonts w:ascii="Times New Roman" w:hAnsi="Times New Roman" w:cs="Times New Roman"/>
          <w:color w:val="333333"/>
          <w:sz w:val="20"/>
          <w:szCs w:val="20"/>
        </w:rPr>
      </w:pPr>
      <w:r w:rsidRPr="00F77319">
        <w:rPr>
          <w:rFonts w:ascii="Times New Roman" w:hAnsi="Times New Roman" w:cs="Times New Roman"/>
          <w:sz w:val="20"/>
          <w:szCs w:val="20"/>
        </w:rPr>
        <w:t>En France, pour les nouvelles constructions, il s</w:t>
      </w:r>
      <w:r w:rsidRPr="00F77319">
        <w:rPr>
          <w:rFonts w:ascii="Times New Roman" w:hAnsi="Times New Roman" w:cs="Times New Roman" w:hint="cs"/>
          <w:sz w:val="20"/>
          <w:szCs w:val="20"/>
        </w:rPr>
        <w:t>’</w:t>
      </w:r>
      <w:r w:rsidRPr="00F77319">
        <w:rPr>
          <w:rFonts w:ascii="Times New Roman" w:hAnsi="Times New Roman" w:cs="Times New Roman"/>
          <w:sz w:val="20"/>
          <w:szCs w:val="20"/>
        </w:rPr>
        <w:t>agit pour les logements d</w:t>
      </w:r>
      <w:r w:rsidRPr="00F77319">
        <w:rPr>
          <w:rFonts w:ascii="Times New Roman" w:hAnsi="Times New Roman" w:cs="Times New Roman" w:hint="cs"/>
          <w:sz w:val="20"/>
          <w:szCs w:val="20"/>
        </w:rPr>
        <w:t>’</w:t>
      </w:r>
      <w:r w:rsidRPr="00F77319">
        <w:rPr>
          <w:rFonts w:ascii="Times New Roman" w:hAnsi="Times New Roman" w:cs="Times New Roman"/>
          <w:sz w:val="20"/>
          <w:szCs w:val="20"/>
        </w:rPr>
        <w:t>un espace de 3m</w:t>
      </w:r>
      <w:r w:rsidRPr="00F77319">
        <w:rPr>
          <w:rFonts w:ascii="Times New Roman" w:hAnsi="Times New Roman" w:cs="Times New Roman" w:hint="cs"/>
          <w:sz w:val="20"/>
          <w:szCs w:val="20"/>
        </w:rPr>
        <w:t>²</w:t>
      </w:r>
      <w:r w:rsidRPr="00F77319">
        <w:rPr>
          <w:rFonts w:ascii="Times New Roman" w:hAnsi="Times New Roman" w:cs="Times New Roman"/>
          <w:sz w:val="20"/>
          <w:szCs w:val="20"/>
        </w:rPr>
        <w:t xml:space="preserve"> au minimum, de 0,75 m</w:t>
      </w:r>
      <w:r w:rsidRPr="00F77319">
        <w:rPr>
          <w:rFonts w:ascii="Times New Roman" w:hAnsi="Times New Roman" w:cs="Times New Roman" w:hint="cs"/>
          <w:sz w:val="20"/>
          <w:szCs w:val="20"/>
        </w:rPr>
        <w:t>²</w:t>
      </w:r>
      <w:r w:rsidRPr="00F77319">
        <w:rPr>
          <w:rFonts w:ascii="Times New Roman" w:hAnsi="Times New Roman" w:cs="Times New Roman"/>
          <w:sz w:val="20"/>
          <w:szCs w:val="20"/>
        </w:rPr>
        <w:t xml:space="preserve"> par logement d</w:t>
      </w:r>
      <w:r w:rsidRPr="00F77319">
        <w:rPr>
          <w:rFonts w:ascii="Times New Roman" w:hAnsi="Times New Roman" w:cs="Times New Roman" w:hint="cs"/>
          <w:sz w:val="20"/>
          <w:szCs w:val="20"/>
        </w:rPr>
        <w:t>’</w:t>
      </w:r>
      <w:r w:rsidRPr="00F77319">
        <w:rPr>
          <w:rFonts w:ascii="Times New Roman" w:hAnsi="Times New Roman" w:cs="Times New Roman"/>
          <w:sz w:val="20"/>
          <w:szCs w:val="20"/>
        </w:rPr>
        <w:t>une ou deux pi</w:t>
      </w:r>
      <w:r w:rsidRPr="00F77319">
        <w:rPr>
          <w:rFonts w:ascii="Times New Roman" w:hAnsi="Times New Roman" w:cs="Times New Roman" w:hint="cs"/>
          <w:sz w:val="20"/>
          <w:szCs w:val="20"/>
        </w:rPr>
        <w:t>è</w:t>
      </w:r>
      <w:r w:rsidRPr="00F77319">
        <w:rPr>
          <w:rFonts w:ascii="Times New Roman" w:hAnsi="Times New Roman" w:cs="Times New Roman"/>
          <w:sz w:val="20"/>
          <w:szCs w:val="20"/>
        </w:rPr>
        <w:t>ces, et de 1,5m</w:t>
      </w:r>
      <w:r w:rsidRPr="00F77319">
        <w:rPr>
          <w:rFonts w:ascii="Times New Roman" w:hAnsi="Times New Roman" w:cs="Times New Roman" w:hint="cs"/>
          <w:sz w:val="20"/>
          <w:szCs w:val="20"/>
        </w:rPr>
        <w:t>²</w:t>
      </w:r>
      <w:r w:rsidRPr="00F77319">
        <w:rPr>
          <w:rFonts w:ascii="Times New Roman" w:hAnsi="Times New Roman" w:cs="Times New Roman"/>
          <w:sz w:val="20"/>
          <w:szCs w:val="20"/>
        </w:rPr>
        <w:t xml:space="preserve"> au-del</w:t>
      </w:r>
      <w:r w:rsidRPr="00F77319">
        <w:rPr>
          <w:rFonts w:ascii="Times New Roman" w:hAnsi="Times New Roman" w:cs="Times New Roman" w:hint="cs"/>
          <w:sz w:val="20"/>
          <w:szCs w:val="20"/>
        </w:rPr>
        <w:t>à</w:t>
      </w:r>
      <w:r w:rsidRPr="00F77319">
        <w:rPr>
          <w:rFonts w:ascii="Times New Roman" w:hAnsi="Times New Roman" w:cs="Times New Roman"/>
          <w:sz w:val="20"/>
          <w:szCs w:val="20"/>
        </w:rPr>
        <w:t xml:space="preserve"> de deux pi</w:t>
      </w:r>
      <w:r w:rsidRPr="00F77319">
        <w:rPr>
          <w:rFonts w:ascii="Times New Roman" w:hAnsi="Times New Roman" w:cs="Times New Roman" w:hint="cs"/>
          <w:sz w:val="20"/>
          <w:szCs w:val="20"/>
        </w:rPr>
        <w:t>è</w:t>
      </w:r>
      <w:r w:rsidRPr="00F77319">
        <w:rPr>
          <w:rFonts w:ascii="Times New Roman" w:hAnsi="Times New Roman" w:cs="Times New Roman"/>
          <w:sz w:val="20"/>
          <w:szCs w:val="20"/>
        </w:rPr>
        <w:t xml:space="preserve">ces, couvert et </w:t>
      </w:r>
      <w:r w:rsidRPr="00F77319">
        <w:rPr>
          <w:rFonts w:ascii="Times New Roman" w:hAnsi="Times New Roman" w:cs="Times New Roman" w:hint="cs"/>
          <w:sz w:val="20"/>
          <w:szCs w:val="20"/>
        </w:rPr>
        <w:t>é</w:t>
      </w:r>
      <w:r w:rsidRPr="00F77319">
        <w:rPr>
          <w:rFonts w:ascii="Times New Roman" w:hAnsi="Times New Roman" w:cs="Times New Roman"/>
          <w:sz w:val="20"/>
          <w:szCs w:val="20"/>
        </w:rPr>
        <w:t>clair</w:t>
      </w:r>
      <w:r w:rsidRPr="00F77319">
        <w:rPr>
          <w:rFonts w:ascii="Times New Roman" w:hAnsi="Times New Roman" w:cs="Times New Roman" w:hint="cs"/>
          <w:sz w:val="20"/>
          <w:szCs w:val="20"/>
        </w:rPr>
        <w:t>é</w:t>
      </w:r>
      <w:r w:rsidRPr="00F77319">
        <w:rPr>
          <w:rFonts w:ascii="Times New Roman" w:hAnsi="Times New Roman" w:cs="Times New Roman"/>
          <w:sz w:val="20"/>
          <w:szCs w:val="20"/>
        </w:rPr>
        <w:t xml:space="preserve"> avec fermeture s</w:t>
      </w:r>
      <w:r w:rsidRPr="00F77319">
        <w:rPr>
          <w:rFonts w:ascii="Times New Roman" w:hAnsi="Times New Roman" w:cs="Times New Roman" w:hint="cs"/>
          <w:sz w:val="20"/>
          <w:szCs w:val="20"/>
        </w:rPr>
        <w:t>é</w:t>
      </w:r>
      <w:r w:rsidRPr="00F77319">
        <w:rPr>
          <w:rFonts w:ascii="Times New Roman" w:hAnsi="Times New Roman" w:cs="Times New Roman"/>
          <w:sz w:val="20"/>
          <w:szCs w:val="20"/>
        </w:rPr>
        <w:t>curis</w:t>
      </w:r>
      <w:r w:rsidRPr="00F77319">
        <w:rPr>
          <w:rFonts w:ascii="Times New Roman" w:hAnsi="Times New Roman" w:cs="Times New Roman" w:hint="cs"/>
          <w:sz w:val="20"/>
          <w:szCs w:val="20"/>
        </w:rPr>
        <w:t>é</w:t>
      </w:r>
      <w:r w:rsidRPr="00F77319">
        <w:rPr>
          <w:rFonts w:ascii="Times New Roman" w:hAnsi="Times New Roman" w:cs="Times New Roman"/>
          <w:sz w:val="20"/>
          <w:szCs w:val="20"/>
        </w:rPr>
        <w:t>. L</w:t>
      </w:r>
      <w:r w:rsidRPr="00F77319">
        <w:rPr>
          <w:rFonts w:ascii="Times New Roman" w:hAnsi="Times New Roman" w:cs="Times New Roman" w:hint="cs"/>
          <w:sz w:val="20"/>
          <w:szCs w:val="20"/>
        </w:rPr>
        <w:t>’</w:t>
      </w:r>
      <w:r w:rsidRPr="00F77319">
        <w:rPr>
          <w:rFonts w:ascii="Times New Roman" w:hAnsi="Times New Roman" w:cs="Times New Roman"/>
          <w:sz w:val="20"/>
          <w:szCs w:val="20"/>
        </w:rPr>
        <w:t xml:space="preserve">espace doit </w:t>
      </w:r>
      <w:r w:rsidRPr="00F77319">
        <w:rPr>
          <w:rFonts w:ascii="Times New Roman" w:hAnsi="Times New Roman" w:cs="Times New Roman" w:hint="cs"/>
          <w:sz w:val="20"/>
          <w:szCs w:val="20"/>
        </w:rPr>
        <w:t>ê</w:t>
      </w:r>
      <w:r w:rsidRPr="00F77319">
        <w:rPr>
          <w:rFonts w:ascii="Times New Roman" w:hAnsi="Times New Roman" w:cs="Times New Roman"/>
          <w:sz w:val="20"/>
          <w:szCs w:val="20"/>
        </w:rPr>
        <w:t>tre accessible depuis les points d</w:t>
      </w:r>
      <w:r w:rsidRPr="00F77319">
        <w:rPr>
          <w:rFonts w:ascii="Times New Roman" w:hAnsi="Times New Roman" w:cs="Times New Roman" w:hint="cs"/>
          <w:sz w:val="20"/>
          <w:szCs w:val="20"/>
        </w:rPr>
        <w:t>’</w:t>
      </w:r>
      <w:r w:rsidRPr="00F77319">
        <w:rPr>
          <w:rFonts w:ascii="Times New Roman" w:hAnsi="Times New Roman" w:cs="Times New Roman"/>
          <w:sz w:val="20"/>
          <w:szCs w:val="20"/>
        </w:rPr>
        <w:t>entr</w:t>
      </w:r>
      <w:r w:rsidRPr="00F77319">
        <w:rPr>
          <w:rFonts w:ascii="Times New Roman" w:hAnsi="Times New Roman" w:cs="Times New Roman" w:hint="cs"/>
          <w:sz w:val="20"/>
          <w:szCs w:val="20"/>
        </w:rPr>
        <w:t>é</w:t>
      </w:r>
      <w:r w:rsidRPr="00F77319">
        <w:rPr>
          <w:rFonts w:ascii="Times New Roman" w:hAnsi="Times New Roman" w:cs="Times New Roman"/>
          <w:sz w:val="20"/>
          <w:szCs w:val="20"/>
        </w:rPr>
        <w:t>e de l</w:t>
      </w:r>
      <w:r w:rsidRPr="00F77319">
        <w:rPr>
          <w:rFonts w:ascii="Times New Roman" w:hAnsi="Times New Roman" w:cs="Times New Roman" w:hint="cs"/>
          <w:sz w:val="20"/>
          <w:szCs w:val="20"/>
        </w:rPr>
        <w:t>’</w:t>
      </w:r>
      <w:r w:rsidRPr="00F77319">
        <w:rPr>
          <w:rFonts w:ascii="Times New Roman" w:hAnsi="Times New Roman" w:cs="Times New Roman"/>
          <w:sz w:val="20"/>
          <w:szCs w:val="20"/>
        </w:rPr>
        <w:t>immeuble, et comporter des dispositifs permettant d</w:t>
      </w:r>
      <w:r w:rsidRPr="00F77319">
        <w:rPr>
          <w:rFonts w:ascii="Times New Roman" w:hAnsi="Times New Roman" w:cs="Times New Roman" w:hint="cs"/>
          <w:sz w:val="20"/>
          <w:szCs w:val="20"/>
        </w:rPr>
        <w:t>’</w:t>
      </w:r>
      <w:r w:rsidRPr="00F77319">
        <w:rPr>
          <w:rFonts w:ascii="Times New Roman" w:hAnsi="Times New Roman" w:cs="Times New Roman"/>
          <w:sz w:val="20"/>
          <w:szCs w:val="20"/>
        </w:rPr>
        <w:t>attacher les v</w:t>
      </w:r>
      <w:r w:rsidRPr="00F77319">
        <w:rPr>
          <w:rFonts w:ascii="Times New Roman" w:hAnsi="Times New Roman" w:cs="Times New Roman" w:hint="cs"/>
          <w:sz w:val="20"/>
          <w:szCs w:val="20"/>
        </w:rPr>
        <w:t>é</w:t>
      </w:r>
      <w:r w:rsidRPr="00F77319">
        <w:rPr>
          <w:rFonts w:ascii="Times New Roman" w:hAnsi="Times New Roman" w:cs="Times New Roman"/>
          <w:sz w:val="20"/>
          <w:szCs w:val="20"/>
        </w:rPr>
        <w:t xml:space="preserve">los par le cadre ou par une roue, mais peut </w:t>
      </w:r>
      <w:r w:rsidRPr="00F77319">
        <w:rPr>
          <w:rFonts w:ascii="Times New Roman" w:hAnsi="Times New Roman" w:cs="Times New Roman" w:hint="cs"/>
          <w:sz w:val="20"/>
          <w:szCs w:val="20"/>
        </w:rPr>
        <w:t>ê</w:t>
      </w:r>
      <w:r w:rsidRPr="00F77319">
        <w:rPr>
          <w:rFonts w:ascii="Times New Roman" w:hAnsi="Times New Roman" w:cs="Times New Roman"/>
          <w:sz w:val="20"/>
          <w:szCs w:val="20"/>
        </w:rPr>
        <w:t>tre constitu</w:t>
      </w:r>
      <w:r w:rsidRPr="00F77319">
        <w:rPr>
          <w:rFonts w:ascii="Times New Roman" w:hAnsi="Times New Roman" w:cs="Times New Roman" w:hint="cs"/>
          <w:sz w:val="20"/>
          <w:szCs w:val="20"/>
        </w:rPr>
        <w:t>é</w:t>
      </w:r>
      <w:r w:rsidRPr="00F77319">
        <w:rPr>
          <w:rFonts w:ascii="Times New Roman" w:hAnsi="Times New Roman" w:cs="Times New Roman"/>
          <w:sz w:val="20"/>
          <w:szCs w:val="20"/>
        </w:rPr>
        <w:t xml:space="preserve"> de plusieurs emplacements. Pour les immeubles de bureaux, la diff</w:t>
      </w:r>
      <w:r w:rsidRPr="00F77319">
        <w:rPr>
          <w:rFonts w:ascii="Times New Roman" w:hAnsi="Times New Roman" w:cs="Times New Roman" w:hint="cs"/>
          <w:sz w:val="20"/>
          <w:szCs w:val="20"/>
        </w:rPr>
        <w:t>é</w:t>
      </w:r>
      <w:r w:rsidRPr="00F77319">
        <w:rPr>
          <w:rFonts w:ascii="Times New Roman" w:hAnsi="Times New Roman" w:cs="Times New Roman"/>
          <w:sz w:val="20"/>
          <w:szCs w:val="20"/>
        </w:rPr>
        <w:t>rence est que l</w:t>
      </w:r>
      <w:r w:rsidRPr="00F77319">
        <w:rPr>
          <w:rFonts w:ascii="Times New Roman" w:hAnsi="Times New Roman" w:cs="Times New Roman" w:hint="cs"/>
          <w:sz w:val="20"/>
          <w:szCs w:val="20"/>
        </w:rPr>
        <w:t>’</w:t>
      </w:r>
      <w:r w:rsidRPr="00F77319">
        <w:rPr>
          <w:rFonts w:ascii="Times New Roman" w:hAnsi="Times New Roman" w:cs="Times New Roman"/>
          <w:sz w:val="20"/>
          <w:szCs w:val="20"/>
        </w:rPr>
        <w:t>espace d</w:t>
      </w:r>
      <w:r w:rsidRPr="00F77319">
        <w:rPr>
          <w:rFonts w:ascii="Times New Roman" w:hAnsi="Times New Roman" w:cs="Times New Roman" w:hint="cs"/>
          <w:sz w:val="20"/>
          <w:szCs w:val="20"/>
        </w:rPr>
        <w:t>é</w:t>
      </w:r>
      <w:r w:rsidRPr="00F77319">
        <w:rPr>
          <w:rFonts w:ascii="Times New Roman" w:hAnsi="Times New Roman" w:cs="Times New Roman"/>
          <w:sz w:val="20"/>
          <w:szCs w:val="20"/>
        </w:rPr>
        <w:t>di</w:t>
      </w:r>
      <w:r w:rsidRPr="00F77319">
        <w:rPr>
          <w:rFonts w:ascii="Times New Roman" w:hAnsi="Times New Roman" w:cs="Times New Roman" w:hint="cs"/>
          <w:sz w:val="20"/>
          <w:szCs w:val="20"/>
        </w:rPr>
        <w:t>é</w:t>
      </w:r>
      <w:r w:rsidRPr="00F77319">
        <w:rPr>
          <w:rFonts w:ascii="Times New Roman" w:hAnsi="Times New Roman" w:cs="Times New Roman"/>
          <w:sz w:val="20"/>
          <w:szCs w:val="20"/>
        </w:rPr>
        <w:t xml:space="preserve"> au stationnement v</w:t>
      </w:r>
      <w:r w:rsidRPr="00F77319">
        <w:rPr>
          <w:rFonts w:ascii="Times New Roman" w:hAnsi="Times New Roman" w:cs="Times New Roman" w:hint="cs"/>
          <w:sz w:val="20"/>
          <w:szCs w:val="20"/>
        </w:rPr>
        <w:t>é</w:t>
      </w:r>
      <w:r w:rsidRPr="00F77319">
        <w:rPr>
          <w:rFonts w:ascii="Times New Roman" w:hAnsi="Times New Roman" w:cs="Times New Roman"/>
          <w:sz w:val="20"/>
          <w:szCs w:val="20"/>
        </w:rPr>
        <w:t>lo doit avoir une superficie de 1,5% de la surface du plancher.</w:t>
      </w:r>
    </w:p>
    <w:p w:rsidR="00EC48C4" w:rsidRDefault="00EC48C4" w:rsidP="00EC48C4">
      <w:pPr>
        <w:numPr>
          <w:ilvl w:val="0"/>
          <w:numId w:val="1"/>
        </w:numPr>
        <w:spacing w:after="0" w:line="240" w:lineRule="auto"/>
        <w:ind w:left="0"/>
        <w:rPr>
          <w:rFonts w:ascii="Times New Roman" w:hAnsi="Times New Roman" w:cs="Times New Roman"/>
          <w:color w:val="333333"/>
          <w:sz w:val="20"/>
          <w:szCs w:val="20"/>
        </w:rPr>
      </w:pPr>
      <w:r w:rsidRPr="00F77319">
        <w:rPr>
          <w:rFonts w:ascii="Times New Roman" w:hAnsi="Times New Roman" w:cs="Times New Roman"/>
          <w:sz w:val="20"/>
          <w:szCs w:val="20"/>
        </w:rPr>
        <w:t>Pour les b</w:t>
      </w:r>
      <w:r w:rsidRPr="00F77319">
        <w:rPr>
          <w:rFonts w:ascii="Times New Roman" w:hAnsi="Times New Roman" w:cs="Times New Roman" w:hint="cs"/>
          <w:sz w:val="20"/>
          <w:szCs w:val="20"/>
        </w:rPr>
        <w:t>â</w:t>
      </w:r>
      <w:r w:rsidRPr="00F77319">
        <w:rPr>
          <w:rFonts w:ascii="Times New Roman" w:hAnsi="Times New Roman" w:cs="Times New Roman"/>
          <w:sz w:val="20"/>
          <w:szCs w:val="20"/>
        </w:rPr>
        <w:t>timents existants clos et couverts dont le propri</w:t>
      </w:r>
      <w:r w:rsidRPr="00F77319">
        <w:rPr>
          <w:rFonts w:ascii="Times New Roman" w:hAnsi="Times New Roman" w:cs="Times New Roman" w:hint="cs"/>
          <w:sz w:val="20"/>
          <w:szCs w:val="20"/>
        </w:rPr>
        <w:t>é</w:t>
      </w:r>
      <w:r w:rsidRPr="00F77319">
        <w:rPr>
          <w:rFonts w:ascii="Times New Roman" w:hAnsi="Times New Roman" w:cs="Times New Roman"/>
          <w:sz w:val="20"/>
          <w:szCs w:val="20"/>
        </w:rPr>
        <w:t>taire et l</w:t>
      </w:r>
      <w:r w:rsidRPr="00F77319">
        <w:rPr>
          <w:rFonts w:ascii="Times New Roman" w:hAnsi="Times New Roman" w:cs="Times New Roman" w:hint="cs"/>
          <w:sz w:val="20"/>
          <w:szCs w:val="20"/>
        </w:rPr>
        <w:t>’</w:t>
      </w:r>
      <w:r w:rsidRPr="00F77319">
        <w:rPr>
          <w:rFonts w:ascii="Times New Roman" w:hAnsi="Times New Roman" w:cs="Times New Roman"/>
          <w:sz w:val="20"/>
          <w:szCs w:val="20"/>
        </w:rPr>
        <w:t>usager du parc de stationnement automobile (au moins 20 voitures) sont uniques, il est exig</w:t>
      </w:r>
      <w:r w:rsidRPr="00F77319">
        <w:rPr>
          <w:rFonts w:ascii="Times New Roman" w:hAnsi="Times New Roman" w:cs="Times New Roman" w:hint="cs"/>
          <w:sz w:val="20"/>
          <w:szCs w:val="20"/>
        </w:rPr>
        <w:t>é</w:t>
      </w:r>
      <w:r w:rsidRPr="00F77319">
        <w:rPr>
          <w:rFonts w:ascii="Times New Roman" w:hAnsi="Times New Roman" w:cs="Times New Roman"/>
          <w:sz w:val="20"/>
          <w:szCs w:val="20"/>
        </w:rPr>
        <w:t xml:space="preserve"> un espace de stationnement v</w:t>
      </w:r>
      <w:r w:rsidRPr="00F77319">
        <w:rPr>
          <w:rFonts w:ascii="Times New Roman" w:hAnsi="Times New Roman" w:cs="Times New Roman" w:hint="cs"/>
          <w:sz w:val="20"/>
          <w:szCs w:val="20"/>
        </w:rPr>
        <w:t>é</w:t>
      </w:r>
      <w:r w:rsidRPr="00F77319">
        <w:rPr>
          <w:rFonts w:ascii="Times New Roman" w:hAnsi="Times New Roman" w:cs="Times New Roman"/>
          <w:sz w:val="20"/>
          <w:szCs w:val="20"/>
        </w:rPr>
        <w:t>lo cons</w:t>
      </w:r>
      <w:r w:rsidRPr="00F77319">
        <w:rPr>
          <w:rFonts w:ascii="Times New Roman" w:hAnsi="Times New Roman" w:cs="Times New Roman" w:hint="cs"/>
          <w:sz w:val="20"/>
          <w:szCs w:val="20"/>
        </w:rPr>
        <w:t>é</w:t>
      </w:r>
      <w:r w:rsidRPr="00F77319">
        <w:rPr>
          <w:rFonts w:ascii="Times New Roman" w:hAnsi="Times New Roman" w:cs="Times New Roman"/>
          <w:sz w:val="20"/>
          <w:szCs w:val="20"/>
        </w:rPr>
        <w:t>quent. Selon les textes l</w:t>
      </w:r>
      <w:r w:rsidRPr="00F77319">
        <w:rPr>
          <w:rFonts w:ascii="Times New Roman" w:hAnsi="Times New Roman" w:cs="Times New Roman" w:hint="cs"/>
          <w:sz w:val="20"/>
          <w:szCs w:val="20"/>
        </w:rPr>
        <w:t>é</w:t>
      </w:r>
      <w:r w:rsidRPr="00F77319">
        <w:rPr>
          <w:rFonts w:ascii="Times New Roman" w:hAnsi="Times New Roman" w:cs="Times New Roman"/>
          <w:sz w:val="20"/>
          <w:szCs w:val="20"/>
        </w:rPr>
        <w:t>gislatifs et r</w:t>
      </w:r>
      <w:r w:rsidRPr="00F77319">
        <w:rPr>
          <w:rFonts w:ascii="Times New Roman" w:hAnsi="Times New Roman" w:cs="Times New Roman" w:hint="cs"/>
          <w:sz w:val="20"/>
          <w:szCs w:val="20"/>
        </w:rPr>
        <w:t>é</w:t>
      </w:r>
      <w:r w:rsidRPr="00F77319">
        <w:rPr>
          <w:rFonts w:ascii="Times New Roman" w:hAnsi="Times New Roman" w:cs="Times New Roman"/>
          <w:sz w:val="20"/>
          <w:szCs w:val="20"/>
        </w:rPr>
        <w:t>glementaires suivants</w:t>
      </w:r>
      <w:r w:rsidRPr="00F77319">
        <w:rPr>
          <w:rFonts w:ascii="Times New Roman" w:hAnsi="Times New Roman" w:cs="Times New Roman" w:hint="cs"/>
          <w:sz w:val="20"/>
          <w:szCs w:val="20"/>
        </w:rPr>
        <w:t> </w:t>
      </w:r>
      <w:r w:rsidRPr="00F77319">
        <w:rPr>
          <w:rFonts w:ascii="Times New Roman" w:hAnsi="Times New Roman" w:cs="Times New Roman"/>
          <w:sz w:val="20"/>
          <w:szCs w:val="20"/>
        </w:rPr>
        <w:t>:</w:t>
      </w:r>
    </w:p>
    <w:p w:rsidR="00EC48C4" w:rsidRPr="00F77319" w:rsidRDefault="00EC48C4" w:rsidP="00EC48C4">
      <w:pPr>
        <w:numPr>
          <w:ilvl w:val="0"/>
          <w:numId w:val="1"/>
        </w:numPr>
        <w:spacing w:after="0" w:line="240" w:lineRule="auto"/>
        <w:ind w:left="568" w:hanging="284"/>
        <w:rPr>
          <w:rFonts w:ascii="Times New Roman" w:hAnsi="Times New Roman" w:cs="Times New Roman"/>
          <w:color w:val="333333"/>
          <w:sz w:val="20"/>
          <w:szCs w:val="20"/>
        </w:rPr>
      </w:pPr>
      <w:r w:rsidRPr="00F77319">
        <w:rPr>
          <w:rFonts w:ascii="Times New Roman" w:hAnsi="Times New Roman" w:cs="Times New Roman"/>
          <w:sz w:val="20"/>
          <w:szCs w:val="20"/>
        </w:rPr>
        <w:t xml:space="preserve"> </w:t>
      </w:r>
      <w:hyperlink r:id="rId1" w:tgtFrame="_blank" w:history="1">
        <w:r w:rsidRPr="00F77319">
          <w:rPr>
            <w:rStyle w:val="Lienhypertexte"/>
            <w:rFonts w:ascii="Times New Roman" w:hAnsi="Times New Roman" w:cs="Times New Roman"/>
            <w:sz w:val="20"/>
            <w:szCs w:val="20"/>
          </w:rPr>
          <w:t>Loi n</w:t>
        </w:r>
        <w:r w:rsidRPr="00F77319">
          <w:rPr>
            <w:rStyle w:val="Lienhypertexte"/>
            <w:rFonts w:ascii="Times New Roman" w:hAnsi="Times New Roman" w:cs="Times New Roman" w:hint="cs"/>
            <w:sz w:val="20"/>
            <w:szCs w:val="20"/>
          </w:rPr>
          <w:t>° </w:t>
        </w:r>
        <w:r w:rsidRPr="00F77319">
          <w:rPr>
            <w:rStyle w:val="Lienhypertexte"/>
            <w:rFonts w:ascii="Times New Roman" w:hAnsi="Times New Roman" w:cs="Times New Roman"/>
            <w:sz w:val="20"/>
            <w:szCs w:val="20"/>
          </w:rPr>
          <w:t>2010-788 du 12 juillet 2010 portant engagement national pour l</w:t>
        </w:r>
        <w:r w:rsidRPr="00F77319">
          <w:rPr>
            <w:rStyle w:val="Lienhypertexte"/>
            <w:rFonts w:ascii="Times New Roman" w:hAnsi="Times New Roman" w:cs="Times New Roman" w:hint="cs"/>
            <w:sz w:val="20"/>
            <w:szCs w:val="20"/>
          </w:rPr>
          <w:t>’</w:t>
        </w:r>
        <w:r w:rsidRPr="00F77319">
          <w:rPr>
            <w:rStyle w:val="Lienhypertexte"/>
            <w:rFonts w:ascii="Times New Roman" w:hAnsi="Times New Roman" w:cs="Times New Roman"/>
            <w:sz w:val="20"/>
            <w:szCs w:val="20"/>
          </w:rPr>
          <w:t>environnement</w:t>
        </w:r>
      </w:hyperlink>
      <w:r w:rsidRPr="00F77319">
        <w:rPr>
          <w:rFonts w:ascii="Times New Roman" w:hAnsi="Times New Roman" w:cs="Times New Roman"/>
          <w:color w:val="333333"/>
          <w:sz w:val="20"/>
          <w:szCs w:val="20"/>
        </w:rPr>
        <w:t>,</w:t>
      </w:r>
    </w:p>
    <w:p w:rsidR="00EC48C4" w:rsidRPr="00F77319" w:rsidRDefault="00EC48C4" w:rsidP="00EC48C4">
      <w:pPr>
        <w:pStyle w:val="Paragraphedeliste"/>
        <w:numPr>
          <w:ilvl w:val="0"/>
          <w:numId w:val="1"/>
        </w:numPr>
        <w:spacing w:after="0" w:line="240" w:lineRule="auto"/>
        <w:ind w:left="568" w:hanging="284"/>
        <w:rPr>
          <w:rFonts w:ascii="Times New Roman" w:hAnsi="Times New Roman" w:cs="Times New Roman"/>
          <w:color w:val="333333"/>
          <w:sz w:val="20"/>
          <w:szCs w:val="20"/>
        </w:rPr>
      </w:pPr>
      <w:r w:rsidRPr="00F77319">
        <w:rPr>
          <w:rFonts w:ascii="Times New Roman" w:hAnsi="Times New Roman" w:cs="Times New Roman"/>
          <w:color w:val="333333"/>
          <w:sz w:val="20"/>
          <w:szCs w:val="20"/>
        </w:rPr>
        <w:t xml:space="preserve"> </w:t>
      </w:r>
      <w:hyperlink r:id="rId2" w:tgtFrame="_blank" w:history="1">
        <w:r w:rsidRPr="00F77319">
          <w:rPr>
            <w:rStyle w:val="Lienhypertexte"/>
            <w:rFonts w:ascii="Times New Roman" w:hAnsi="Times New Roman" w:cs="Times New Roman"/>
            <w:sz w:val="20"/>
            <w:szCs w:val="20"/>
          </w:rPr>
          <w:t>Loi n</w:t>
        </w:r>
        <w:r w:rsidRPr="00F77319">
          <w:rPr>
            <w:rStyle w:val="Lienhypertexte"/>
            <w:rFonts w:ascii="Times New Roman" w:hAnsi="Times New Roman" w:cs="Times New Roman" w:hint="cs"/>
            <w:sz w:val="20"/>
            <w:szCs w:val="20"/>
          </w:rPr>
          <w:t>° </w:t>
        </w:r>
        <w:r w:rsidRPr="00F77319">
          <w:rPr>
            <w:rStyle w:val="Lienhypertexte"/>
            <w:rFonts w:ascii="Times New Roman" w:hAnsi="Times New Roman" w:cs="Times New Roman"/>
            <w:sz w:val="20"/>
            <w:szCs w:val="20"/>
          </w:rPr>
          <w:t>65-557 du 10 juillet 1965 fixant le statut de la copropri</w:t>
        </w:r>
        <w:r w:rsidRPr="00F77319">
          <w:rPr>
            <w:rStyle w:val="Lienhypertexte"/>
            <w:rFonts w:ascii="Times New Roman" w:hAnsi="Times New Roman" w:cs="Times New Roman" w:hint="cs"/>
            <w:sz w:val="20"/>
            <w:szCs w:val="20"/>
          </w:rPr>
          <w:t>é</w:t>
        </w:r>
        <w:r w:rsidRPr="00F77319">
          <w:rPr>
            <w:rStyle w:val="Lienhypertexte"/>
            <w:rFonts w:ascii="Times New Roman" w:hAnsi="Times New Roman" w:cs="Times New Roman"/>
            <w:sz w:val="20"/>
            <w:szCs w:val="20"/>
          </w:rPr>
          <w:t>t</w:t>
        </w:r>
        <w:r w:rsidRPr="00F77319">
          <w:rPr>
            <w:rStyle w:val="Lienhypertexte"/>
            <w:rFonts w:ascii="Times New Roman" w:hAnsi="Times New Roman" w:cs="Times New Roman" w:hint="cs"/>
            <w:sz w:val="20"/>
            <w:szCs w:val="20"/>
          </w:rPr>
          <w:t>é</w:t>
        </w:r>
        <w:r w:rsidRPr="00F77319">
          <w:rPr>
            <w:rStyle w:val="Lienhypertexte"/>
            <w:rFonts w:ascii="Times New Roman" w:hAnsi="Times New Roman" w:cs="Times New Roman"/>
            <w:sz w:val="20"/>
            <w:szCs w:val="20"/>
          </w:rPr>
          <w:t xml:space="preserve"> des immeubles b</w:t>
        </w:r>
        <w:r w:rsidRPr="00F77319">
          <w:rPr>
            <w:rStyle w:val="Lienhypertexte"/>
            <w:rFonts w:ascii="Times New Roman" w:hAnsi="Times New Roman" w:cs="Times New Roman" w:hint="cs"/>
            <w:sz w:val="20"/>
            <w:szCs w:val="20"/>
          </w:rPr>
          <w:t>â</w:t>
        </w:r>
        <w:r w:rsidRPr="00F77319">
          <w:rPr>
            <w:rStyle w:val="Lienhypertexte"/>
            <w:rFonts w:ascii="Times New Roman" w:hAnsi="Times New Roman" w:cs="Times New Roman"/>
            <w:sz w:val="20"/>
            <w:szCs w:val="20"/>
          </w:rPr>
          <w:t>tis</w:t>
        </w:r>
      </w:hyperlink>
    </w:p>
    <w:p w:rsidR="00EC48C4" w:rsidRPr="00F77319" w:rsidRDefault="00EC48C4" w:rsidP="00EC48C4">
      <w:pPr>
        <w:pStyle w:val="Paragraphedeliste"/>
        <w:numPr>
          <w:ilvl w:val="0"/>
          <w:numId w:val="1"/>
        </w:numPr>
        <w:spacing w:after="0" w:line="240" w:lineRule="auto"/>
        <w:ind w:left="568" w:hanging="284"/>
        <w:rPr>
          <w:rFonts w:ascii="Times New Roman" w:hAnsi="Times New Roman" w:cs="Times New Roman"/>
          <w:color w:val="333333"/>
          <w:sz w:val="20"/>
          <w:szCs w:val="20"/>
        </w:rPr>
      </w:pPr>
      <w:hyperlink r:id="rId3" w:tgtFrame="_blank" w:history="1">
        <w:r w:rsidRPr="00F77319">
          <w:rPr>
            <w:rStyle w:val="Lienhypertexte"/>
            <w:rFonts w:ascii="Times New Roman" w:hAnsi="Times New Roman" w:cs="Times New Roman"/>
            <w:sz w:val="20"/>
            <w:szCs w:val="20"/>
          </w:rPr>
          <w:t>D</w:t>
        </w:r>
        <w:r w:rsidRPr="00F77319">
          <w:rPr>
            <w:rStyle w:val="Lienhypertexte"/>
            <w:rFonts w:ascii="Times New Roman" w:hAnsi="Times New Roman" w:cs="Times New Roman" w:hint="cs"/>
            <w:sz w:val="20"/>
            <w:szCs w:val="20"/>
          </w:rPr>
          <w:t>é</w:t>
        </w:r>
        <w:r w:rsidRPr="00F77319">
          <w:rPr>
            <w:rStyle w:val="Lienhypertexte"/>
            <w:rFonts w:ascii="Times New Roman" w:hAnsi="Times New Roman" w:cs="Times New Roman"/>
            <w:sz w:val="20"/>
            <w:szCs w:val="20"/>
          </w:rPr>
          <w:t>cret n</w:t>
        </w:r>
        <w:r w:rsidRPr="00F77319">
          <w:rPr>
            <w:rStyle w:val="Lienhypertexte"/>
            <w:rFonts w:ascii="Times New Roman" w:hAnsi="Times New Roman" w:cs="Times New Roman" w:hint="cs"/>
            <w:sz w:val="20"/>
            <w:szCs w:val="20"/>
          </w:rPr>
          <w:t>°</w:t>
        </w:r>
        <w:r w:rsidRPr="00F77319">
          <w:rPr>
            <w:rStyle w:val="Lienhypertexte"/>
            <w:rFonts w:ascii="Times New Roman" w:hAnsi="Times New Roman" w:cs="Times New Roman"/>
            <w:sz w:val="20"/>
            <w:szCs w:val="20"/>
          </w:rPr>
          <w:t>2011-873 du 25 juillet 2011 relatif aux installations d</w:t>
        </w:r>
        <w:r w:rsidRPr="00F77319">
          <w:rPr>
            <w:rStyle w:val="Lienhypertexte"/>
            <w:rFonts w:ascii="Times New Roman" w:hAnsi="Times New Roman" w:cs="Times New Roman" w:hint="cs"/>
            <w:sz w:val="20"/>
            <w:szCs w:val="20"/>
          </w:rPr>
          <w:t>é</w:t>
        </w:r>
        <w:r w:rsidRPr="00F77319">
          <w:rPr>
            <w:rStyle w:val="Lienhypertexte"/>
            <w:rFonts w:ascii="Times New Roman" w:hAnsi="Times New Roman" w:cs="Times New Roman"/>
            <w:sz w:val="20"/>
            <w:szCs w:val="20"/>
          </w:rPr>
          <w:t>di</w:t>
        </w:r>
        <w:r w:rsidRPr="00F77319">
          <w:rPr>
            <w:rStyle w:val="Lienhypertexte"/>
            <w:rFonts w:ascii="Times New Roman" w:hAnsi="Times New Roman" w:cs="Times New Roman" w:hint="cs"/>
            <w:sz w:val="20"/>
            <w:szCs w:val="20"/>
          </w:rPr>
          <w:t>é</w:t>
        </w:r>
        <w:r w:rsidRPr="00F77319">
          <w:rPr>
            <w:rStyle w:val="Lienhypertexte"/>
            <w:rFonts w:ascii="Times New Roman" w:hAnsi="Times New Roman" w:cs="Times New Roman"/>
            <w:sz w:val="20"/>
            <w:szCs w:val="20"/>
          </w:rPr>
          <w:t xml:space="preserve">es </w:t>
        </w:r>
        <w:r w:rsidRPr="00F77319">
          <w:rPr>
            <w:rStyle w:val="Lienhypertexte"/>
            <w:rFonts w:ascii="Times New Roman" w:hAnsi="Times New Roman" w:cs="Times New Roman" w:hint="cs"/>
            <w:sz w:val="20"/>
            <w:szCs w:val="20"/>
          </w:rPr>
          <w:t>à</w:t>
        </w:r>
        <w:r w:rsidRPr="00F77319">
          <w:rPr>
            <w:rStyle w:val="Lienhypertexte"/>
            <w:rFonts w:ascii="Times New Roman" w:hAnsi="Times New Roman" w:cs="Times New Roman"/>
            <w:sz w:val="20"/>
            <w:szCs w:val="20"/>
          </w:rPr>
          <w:t xml:space="preserve"> la recharge des v</w:t>
        </w:r>
        <w:r w:rsidRPr="00F77319">
          <w:rPr>
            <w:rStyle w:val="Lienhypertexte"/>
            <w:rFonts w:ascii="Times New Roman" w:hAnsi="Times New Roman" w:cs="Times New Roman" w:hint="cs"/>
            <w:sz w:val="20"/>
            <w:szCs w:val="20"/>
          </w:rPr>
          <w:t>é</w:t>
        </w:r>
        <w:r w:rsidRPr="00F77319">
          <w:rPr>
            <w:rStyle w:val="Lienhypertexte"/>
            <w:rFonts w:ascii="Times New Roman" w:hAnsi="Times New Roman" w:cs="Times New Roman"/>
            <w:sz w:val="20"/>
            <w:szCs w:val="20"/>
          </w:rPr>
          <w:t xml:space="preserve">hicules </w:t>
        </w:r>
        <w:r w:rsidRPr="00F77319">
          <w:rPr>
            <w:rStyle w:val="Lienhypertexte"/>
            <w:rFonts w:ascii="Times New Roman" w:hAnsi="Times New Roman" w:cs="Times New Roman" w:hint="cs"/>
            <w:sz w:val="20"/>
            <w:szCs w:val="20"/>
          </w:rPr>
          <w:t>é</w:t>
        </w:r>
        <w:r w:rsidRPr="00F77319">
          <w:rPr>
            <w:rStyle w:val="Lienhypertexte"/>
            <w:rFonts w:ascii="Times New Roman" w:hAnsi="Times New Roman" w:cs="Times New Roman"/>
            <w:sz w:val="20"/>
            <w:szCs w:val="20"/>
          </w:rPr>
          <w:t>lectriques ou hybrides rechargeables dans les b</w:t>
        </w:r>
        <w:r w:rsidRPr="00F77319">
          <w:rPr>
            <w:rStyle w:val="Lienhypertexte"/>
            <w:rFonts w:ascii="Times New Roman" w:hAnsi="Times New Roman" w:cs="Times New Roman" w:hint="cs"/>
            <w:sz w:val="20"/>
            <w:szCs w:val="20"/>
          </w:rPr>
          <w:t>â</w:t>
        </w:r>
        <w:r w:rsidRPr="00F77319">
          <w:rPr>
            <w:rStyle w:val="Lienhypertexte"/>
            <w:rFonts w:ascii="Times New Roman" w:hAnsi="Times New Roman" w:cs="Times New Roman"/>
            <w:sz w:val="20"/>
            <w:szCs w:val="20"/>
          </w:rPr>
          <w:t>timents et aux infrastructures pour le stationnement s</w:t>
        </w:r>
        <w:r w:rsidRPr="00F77319">
          <w:rPr>
            <w:rStyle w:val="Lienhypertexte"/>
            <w:rFonts w:ascii="Times New Roman" w:hAnsi="Times New Roman" w:cs="Times New Roman" w:hint="cs"/>
            <w:sz w:val="20"/>
            <w:szCs w:val="20"/>
          </w:rPr>
          <w:t>é</w:t>
        </w:r>
        <w:r w:rsidRPr="00F77319">
          <w:rPr>
            <w:rStyle w:val="Lienhypertexte"/>
            <w:rFonts w:ascii="Times New Roman" w:hAnsi="Times New Roman" w:cs="Times New Roman"/>
            <w:sz w:val="20"/>
            <w:szCs w:val="20"/>
          </w:rPr>
          <w:t>curis</w:t>
        </w:r>
        <w:r w:rsidRPr="00F77319">
          <w:rPr>
            <w:rStyle w:val="Lienhypertexte"/>
            <w:rFonts w:ascii="Times New Roman" w:hAnsi="Times New Roman" w:cs="Times New Roman" w:hint="cs"/>
            <w:sz w:val="20"/>
            <w:szCs w:val="20"/>
          </w:rPr>
          <w:t>é</w:t>
        </w:r>
        <w:r w:rsidRPr="00F77319">
          <w:rPr>
            <w:rStyle w:val="Lienhypertexte"/>
            <w:rFonts w:ascii="Times New Roman" w:hAnsi="Times New Roman" w:cs="Times New Roman"/>
            <w:sz w:val="20"/>
            <w:szCs w:val="20"/>
          </w:rPr>
          <w:t xml:space="preserve"> des v</w:t>
        </w:r>
        <w:r w:rsidRPr="00F77319">
          <w:rPr>
            <w:rStyle w:val="Lienhypertexte"/>
            <w:rFonts w:ascii="Times New Roman" w:hAnsi="Times New Roman" w:cs="Times New Roman" w:hint="cs"/>
            <w:sz w:val="20"/>
            <w:szCs w:val="20"/>
          </w:rPr>
          <w:t>é</w:t>
        </w:r>
        <w:r w:rsidRPr="00F77319">
          <w:rPr>
            <w:rStyle w:val="Lienhypertexte"/>
            <w:rFonts w:ascii="Times New Roman" w:hAnsi="Times New Roman" w:cs="Times New Roman"/>
            <w:sz w:val="20"/>
            <w:szCs w:val="20"/>
          </w:rPr>
          <w:t>los</w:t>
        </w:r>
      </w:hyperlink>
    </w:p>
    <w:p w:rsidR="00EC48C4" w:rsidRPr="00F77319" w:rsidRDefault="00EC48C4" w:rsidP="00EC48C4">
      <w:pPr>
        <w:pStyle w:val="Paragraphedeliste"/>
        <w:numPr>
          <w:ilvl w:val="0"/>
          <w:numId w:val="1"/>
        </w:numPr>
        <w:spacing w:after="0" w:line="240" w:lineRule="auto"/>
        <w:ind w:left="568" w:hanging="284"/>
        <w:rPr>
          <w:rFonts w:ascii="Times New Roman" w:hAnsi="Times New Roman" w:cs="Times New Roman"/>
          <w:color w:val="333333"/>
          <w:sz w:val="20"/>
          <w:szCs w:val="20"/>
        </w:rPr>
      </w:pPr>
      <w:hyperlink r:id="rId4" w:tgtFrame="_blank" w:history="1">
        <w:r w:rsidRPr="00F77319">
          <w:rPr>
            <w:rStyle w:val="Lienhypertexte"/>
            <w:rFonts w:ascii="Times New Roman" w:hAnsi="Times New Roman" w:cs="Times New Roman"/>
            <w:sz w:val="20"/>
            <w:szCs w:val="20"/>
          </w:rPr>
          <w:t>Arr</w:t>
        </w:r>
        <w:r w:rsidRPr="00F77319">
          <w:rPr>
            <w:rStyle w:val="Lienhypertexte"/>
            <w:rFonts w:ascii="Times New Roman" w:hAnsi="Times New Roman" w:cs="Times New Roman" w:hint="cs"/>
            <w:sz w:val="20"/>
            <w:szCs w:val="20"/>
          </w:rPr>
          <w:t>ê</w:t>
        </w:r>
        <w:r w:rsidRPr="00F77319">
          <w:rPr>
            <w:rStyle w:val="Lienhypertexte"/>
            <w:rFonts w:ascii="Times New Roman" w:hAnsi="Times New Roman" w:cs="Times New Roman"/>
            <w:sz w:val="20"/>
            <w:szCs w:val="20"/>
          </w:rPr>
          <w:t>t</w:t>
        </w:r>
        <w:r w:rsidRPr="00F77319">
          <w:rPr>
            <w:rStyle w:val="Lienhypertexte"/>
            <w:rFonts w:ascii="Times New Roman" w:hAnsi="Times New Roman" w:cs="Times New Roman" w:hint="cs"/>
            <w:sz w:val="20"/>
            <w:szCs w:val="20"/>
          </w:rPr>
          <w:t>é</w:t>
        </w:r>
        <w:r w:rsidRPr="00F77319">
          <w:rPr>
            <w:rStyle w:val="Lienhypertexte"/>
            <w:rFonts w:ascii="Times New Roman" w:hAnsi="Times New Roman" w:cs="Times New Roman"/>
            <w:sz w:val="20"/>
            <w:szCs w:val="20"/>
          </w:rPr>
          <w:t xml:space="preserve"> du 20 f</w:t>
        </w:r>
        <w:r w:rsidRPr="00F77319">
          <w:rPr>
            <w:rStyle w:val="Lienhypertexte"/>
            <w:rFonts w:ascii="Times New Roman" w:hAnsi="Times New Roman" w:cs="Times New Roman" w:hint="cs"/>
            <w:sz w:val="20"/>
            <w:szCs w:val="20"/>
          </w:rPr>
          <w:t>é</w:t>
        </w:r>
        <w:r w:rsidRPr="00F77319">
          <w:rPr>
            <w:rStyle w:val="Lienhypertexte"/>
            <w:rFonts w:ascii="Times New Roman" w:hAnsi="Times New Roman" w:cs="Times New Roman"/>
            <w:sz w:val="20"/>
            <w:szCs w:val="20"/>
          </w:rPr>
          <w:t xml:space="preserve">vrier 2012 relatif </w:t>
        </w:r>
        <w:r w:rsidRPr="00F77319">
          <w:rPr>
            <w:rStyle w:val="Lienhypertexte"/>
            <w:rFonts w:ascii="Times New Roman" w:hAnsi="Times New Roman" w:cs="Times New Roman" w:hint="cs"/>
            <w:sz w:val="20"/>
            <w:szCs w:val="20"/>
          </w:rPr>
          <w:t>à</w:t>
        </w:r>
        <w:r w:rsidRPr="00F77319">
          <w:rPr>
            <w:rStyle w:val="Lienhypertexte"/>
            <w:rFonts w:ascii="Times New Roman" w:hAnsi="Times New Roman" w:cs="Times New Roman"/>
            <w:sz w:val="20"/>
            <w:szCs w:val="20"/>
          </w:rPr>
          <w:t xml:space="preserve"> l</w:t>
        </w:r>
        <w:r w:rsidRPr="00F77319">
          <w:rPr>
            <w:rStyle w:val="Lienhypertexte"/>
            <w:rFonts w:ascii="Times New Roman" w:hAnsi="Times New Roman" w:cs="Times New Roman" w:hint="cs"/>
            <w:sz w:val="20"/>
            <w:szCs w:val="20"/>
          </w:rPr>
          <w:t>’</w:t>
        </w:r>
        <w:r w:rsidRPr="00F77319">
          <w:rPr>
            <w:rStyle w:val="Lienhypertexte"/>
            <w:rFonts w:ascii="Times New Roman" w:hAnsi="Times New Roman" w:cs="Times New Roman"/>
            <w:sz w:val="20"/>
            <w:szCs w:val="20"/>
          </w:rPr>
          <w:t xml:space="preserve">application des articles R. 111-14-2 </w:t>
        </w:r>
        <w:r w:rsidRPr="00F77319">
          <w:rPr>
            <w:rStyle w:val="Lienhypertexte"/>
            <w:rFonts w:ascii="Times New Roman" w:hAnsi="Times New Roman" w:cs="Times New Roman" w:hint="cs"/>
            <w:sz w:val="20"/>
            <w:szCs w:val="20"/>
          </w:rPr>
          <w:t>à</w:t>
        </w:r>
        <w:r w:rsidRPr="00F77319">
          <w:rPr>
            <w:rStyle w:val="Lienhypertexte"/>
            <w:rFonts w:ascii="Times New Roman" w:hAnsi="Times New Roman" w:cs="Times New Roman"/>
            <w:sz w:val="20"/>
            <w:szCs w:val="20"/>
          </w:rPr>
          <w:t xml:space="preserve"> R. 111-14-5 du code de la construction et de l</w:t>
        </w:r>
        <w:r w:rsidRPr="00F77319">
          <w:rPr>
            <w:rStyle w:val="Lienhypertexte"/>
            <w:rFonts w:ascii="Times New Roman" w:hAnsi="Times New Roman" w:cs="Times New Roman" w:hint="cs"/>
            <w:sz w:val="20"/>
            <w:szCs w:val="20"/>
          </w:rPr>
          <w:t>’</w:t>
        </w:r>
        <w:r w:rsidRPr="00F77319">
          <w:rPr>
            <w:rStyle w:val="Lienhypertexte"/>
            <w:rFonts w:ascii="Times New Roman" w:hAnsi="Times New Roman" w:cs="Times New Roman"/>
            <w:sz w:val="20"/>
            <w:szCs w:val="20"/>
          </w:rPr>
          <w:t>habitation</w:t>
        </w:r>
      </w:hyperlink>
    </w:p>
    <w:p w:rsidR="00EC48C4" w:rsidRPr="00F77319" w:rsidRDefault="00EC48C4" w:rsidP="00EC48C4">
      <w:pPr>
        <w:pStyle w:val="Notedebasdepage"/>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C4" w:rsidRPr="00A34320" w:rsidRDefault="00EC48C4">
    <w:pPr>
      <w:pStyle w:val="En-tte"/>
      <w:jc w:val="right"/>
      <w:rPr>
        <w:b/>
        <w:sz w:val="20"/>
        <w:szCs w:val="20"/>
      </w:rPr>
    </w:pPr>
    <w:sdt>
      <w:sdtPr>
        <w:id w:val="-699163034"/>
        <w:docPartObj>
          <w:docPartGallery w:val="Page Numbers (Margins)"/>
          <w:docPartUnique/>
        </w:docPartObj>
      </w:sdtPr>
      <w:sdtContent>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0" allowOverlap="1" wp14:anchorId="2C44FE71" wp14:editId="6DE20A9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38" name="El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48C4" w:rsidRDefault="00EC48C4">
                              <w:pPr>
                                <w:rPr>
                                  <w:rStyle w:val="Numrodepage"/>
                                  <w:color w:val="FFFFFF" w:themeColor="background1"/>
                                  <w:szCs w:val="24"/>
                                </w:rPr>
                              </w:pPr>
                              <w:r>
                                <w:fldChar w:fldCharType="begin"/>
                              </w:r>
                              <w:r>
                                <w:instrText>PAGE    \* MERGEFORMAT</w:instrText>
                              </w:r>
                              <w:r>
                                <w:fldChar w:fldCharType="separate"/>
                              </w:r>
                              <w:r w:rsidRPr="00EC48C4">
                                <w:rPr>
                                  <w:rStyle w:val="Numrodepage"/>
                                  <w:b/>
                                  <w:bCs/>
                                  <w:noProof/>
                                  <w:color w:val="FFFFFF" w:themeColor="background1"/>
                                  <w:sz w:val="24"/>
                                  <w:szCs w:val="24"/>
                                </w:rPr>
                                <w:t>6</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44FE71" id="Ellipse 38" o:spid="_x0000_s1028"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DALyX51AgAA8wQAAA4AAAAAAAAAAAAA&#10;AAAALgIAAGRycy9lMm9Eb2MueG1sUEsBAi0AFAAGAAgAAAAhAOywSJ/YAAAAAwEAAA8AAAAAAAAA&#10;AAAAAAAAzwQAAGRycy9kb3ducmV2LnhtbFBLBQYAAAAABAAEAPMAAADUBQAAAAA=&#10;" o:allowincell="f" fillcolor="#9dbb61" stroked="f">
                  <v:textbox inset="0,,0">
                    <w:txbxContent>
                      <w:p w:rsidR="00EC48C4" w:rsidRDefault="00EC48C4">
                        <w:pPr>
                          <w:rPr>
                            <w:rStyle w:val="Numrodepage"/>
                            <w:color w:val="FFFFFF" w:themeColor="background1"/>
                            <w:szCs w:val="24"/>
                          </w:rPr>
                        </w:pPr>
                        <w:r>
                          <w:fldChar w:fldCharType="begin"/>
                        </w:r>
                        <w:r>
                          <w:instrText>PAGE    \* MERGEFORMAT</w:instrText>
                        </w:r>
                        <w:r>
                          <w:fldChar w:fldCharType="separate"/>
                        </w:r>
                        <w:r w:rsidRPr="00EC48C4">
                          <w:rPr>
                            <w:rStyle w:val="Numrodepage"/>
                            <w:b/>
                            <w:bCs/>
                            <w:noProof/>
                            <w:color w:val="FFFFFF" w:themeColor="background1"/>
                            <w:sz w:val="24"/>
                            <w:szCs w:val="24"/>
                          </w:rPr>
                          <w:t>6</w:t>
                        </w:r>
                        <w:r>
                          <w:rPr>
                            <w:rStyle w:val="Numrodepage"/>
                            <w:b/>
                            <w:bCs/>
                            <w:color w:val="FFFFFF" w:themeColor="background1"/>
                            <w:sz w:val="24"/>
                            <w:szCs w:val="24"/>
                          </w:rPr>
                          <w:fldChar w:fldCharType="end"/>
                        </w:r>
                      </w:p>
                    </w:txbxContent>
                  </v:textbox>
                  <w10:wrap anchorx="margin" anchory="page"/>
                </v:oval>
              </w:pict>
            </mc:Fallback>
          </mc:AlternateContent>
        </w:r>
      </w:sdtContent>
    </w:sdt>
    <w:r w:rsidRPr="00A34320">
      <w:rPr>
        <w:b/>
        <w:sz w:val="20"/>
        <w:szCs w:val="20"/>
      </w:rPr>
      <w:t>Expliquer le faible usage du vélo en ville par la notion de ville cyclable. Le cas de Saint-Etienne</w:t>
    </w:r>
  </w:p>
  <w:p w:rsidR="00EC48C4" w:rsidRDefault="00EC48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32CD"/>
    <w:multiLevelType w:val="hybridMultilevel"/>
    <w:tmpl w:val="224295B6"/>
    <w:lvl w:ilvl="0" w:tplc="DF58F640">
      <w:numFmt w:val="bullet"/>
      <w:lvlText w:val="-"/>
      <w:lvlJc w:val="left"/>
      <w:pPr>
        <w:ind w:left="1425" w:hanging="360"/>
      </w:pPr>
      <w:rPr>
        <w:rFonts w:ascii="Calibri" w:eastAsiaTheme="minorHAnsi" w:hAnsi="Calibri" w:cstheme="minorBidi"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544C2FF1"/>
    <w:multiLevelType w:val="hybridMultilevel"/>
    <w:tmpl w:val="3CEA68AE"/>
    <w:lvl w:ilvl="0" w:tplc="8F16DD5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C122B7"/>
    <w:multiLevelType w:val="multilevel"/>
    <w:tmpl w:val="ED92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C4"/>
    <w:rsid w:val="00634DE3"/>
    <w:rsid w:val="00EC4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4A70D-543E-4FB9-B11B-A01B0201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8C4"/>
  </w:style>
  <w:style w:type="paragraph" w:styleId="Titre2">
    <w:name w:val="heading 2"/>
    <w:basedOn w:val="Normal"/>
    <w:next w:val="Normal"/>
    <w:link w:val="Titre2Car"/>
    <w:uiPriority w:val="9"/>
    <w:unhideWhenUsed/>
    <w:qFormat/>
    <w:rsid w:val="00EC48C4"/>
    <w:pPr>
      <w:keepNext/>
      <w:keepLines/>
      <w:spacing w:before="40" w:after="0"/>
      <w:outlineLvl w:val="1"/>
    </w:pPr>
    <w:rPr>
      <w:rFonts w:ascii="Times New Roman" w:eastAsiaTheme="majorEastAsia" w:hAnsi="Times New Roman" w:cstheme="majorBidi"/>
      <w:b/>
      <w:sz w:val="24"/>
      <w:szCs w:val="26"/>
    </w:rPr>
  </w:style>
  <w:style w:type="paragraph" w:styleId="Titre3">
    <w:name w:val="heading 3"/>
    <w:basedOn w:val="Normal"/>
    <w:next w:val="Normal"/>
    <w:link w:val="Titre3Car"/>
    <w:uiPriority w:val="9"/>
    <w:unhideWhenUsed/>
    <w:qFormat/>
    <w:rsid w:val="00EC48C4"/>
    <w:pPr>
      <w:keepNext/>
      <w:keepLines/>
      <w:spacing w:before="40" w:after="0"/>
      <w:outlineLvl w:val="2"/>
    </w:pPr>
    <w:rPr>
      <w:rFonts w:ascii="Arial" w:eastAsiaTheme="majorEastAsia" w:hAnsi="Arial" w:cstheme="majorBidi"/>
      <w:sz w:val="1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C48C4"/>
    <w:rPr>
      <w:rFonts w:ascii="Times New Roman" w:eastAsiaTheme="majorEastAsia" w:hAnsi="Times New Roman" w:cstheme="majorBidi"/>
      <w:b/>
      <w:sz w:val="24"/>
      <w:szCs w:val="26"/>
    </w:rPr>
  </w:style>
  <w:style w:type="character" w:customStyle="1" w:styleId="Titre3Car">
    <w:name w:val="Titre 3 Car"/>
    <w:basedOn w:val="Policepardfaut"/>
    <w:link w:val="Titre3"/>
    <w:uiPriority w:val="9"/>
    <w:rsid w:val="00EC48C4"/>
    <w:rPr>
      <w:rFonts w:ascii="Arial" w:eastAsiaTheme="majorEastAsia" w:hAnsi="Arial" w:cstheme="majorBidi"/>
      <w:sz w:val="18"/>
      <w:szCs w:val="24"/>
    </w:rPr>
  </w:style>
  <w:style w:type="paragraph" w:styleId="En-tte">
    <w:name w:val="header"/>
    <w:basedOn w:val="Normal"/>
    <w:link w:val="En-tteCar"/>
    <w:uiPriority w:val="99"/>
    <w:unhideWhenUsed/>
    <w:rsid w:val="00EC48C4"/>
    <w:pPr>
      <w:tabs>
        <w:tab w:val="center" w:pos="4536"/>
        <w:tab w:val="right" w:pos="9072"/>
      </w:tabs>
      <w:spacing w:after="0" w:line="240" w:lineRule="auto"/>
    </w:pPr>
  </w:style>
  <w:style w:type="character" w:customStyle="1" w:styleId="En-tteCar">
    <w:name w:val="En-tête Car"/>
    <w:basedOn w:val="Policepardfaut"/>
    <w:link w:val="En-tte"/>
    <w:uiPriority w:val="99"/>
    <w:rsid w:val="00EC48C4"/>
  </w:style>
  <w:style w:type="paragraph" w:styleId="Pieddepage">
    <w:name w:val="footer"/>
    <w:basedOn w:val="Normal"/>
    <w:link w:val="PieddepageCar"/>
    <w:uiPriority w:val="99"/>
    <w:unhideWhenUsed/>
    <w:rsid w:val="00EC48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8C4"/>
  </w:style>
  <w:style w:type="paragraph" w:styleId="Paragraphedeliste">
    <w:name w:val="List Paragraph"/>
    <w:basedOn w:val="Normal"/>
    <w:uiPriority w:val="34"/>
    <w:qFormat/>
    <w:rsid w:val="00EC48C4"/>
    <w:pPr>
      <w:ind w:left="720"/>
      <w:contextualSpacing/>
    </w:pPr>
  </w:style>
  <w:style w:type="character" w:styleId="Lienhypertexte">
    <w:name w:val="Hyperlink"/>
    <w:basedOn w:val="Policepardfaut"/>
    <w:uiPriority w:val="99"/>
    <w:unhideWhenUsed/>
    <w:rsid w:val="00EC48C4"/>
    <w:rPr>
      <w:color w:val="0563C1" w:themeColor="hyperlink"/>
      <w:u w:val="single"/>
    </w:rPr>
  </w:style>
  <w:style w:type="paragraph" w:styleId="Notedebasdepage">
    <w:name w:val="footnote text"/>
    <w:basedOn w:val="Normal"/>
    <w:link w:val="NotedebasdepageCar"/>
    <w:uiPriority w:val="99"/>
    <w:unhideWhenUsed/>
    <w:rsid w:val="00EC48C4"/>
    <w:pPr>
      <w:spacing w:after="0" w:line="240" w:lineRule="auto"/>
    </w:pPr>
    <w:rPr>
      <w:sz w:val="20"/>
      <w:szCs w:val="20"/>
    </w:rPr>
  </w:style>
  <w:style w:type="character" w:customStyle="1" w:styleId="NotedebasdepageCar">
    <w:name w:val="Note de bas de page Car"/>
    <w:basedOn w:val="Policepardfaut"/>
    <w:link w:val="Notedebasdepage"/>
    <w:uiPriority w:val="99"/>
    <w:rsid w:val="00EC48C4"/>
    <w:rPr>
      <w:sz w:val="20"/>
      <w:szCs w:val="20"/>
    </w:rPr>
  </w:style>
  <w:style w:type="character" w:styleId="Appelnotedebasdep">
    <w:name w:val="footnote reference"/>
    <w:basedOn w:val="Policepardfaut"/>
    <w:uiPriority w:val="99"/>
    <w:unhideWhenUsed/>
    <w:rsid w:val="00EC48C4"/>
    <w:rPr>
      <w:vertAlign w:val="superscript"/>
    </w:rPr>
  </w:style>
  <w:style w:type="character" w:styleId="lev">
    <w:name w:val="Strong"/>
    <w:basedOn w:val="Policepardfaut"/>
    <w:uiPriority w:val="22"/>
    <w:qFormat/>
    <w:rsid w:val="00EC48C4"/>
    <w:rPr>
      <w:b/>
      <w:bCs/>
    </w:rPr>
  </w:style>
  <w:style w:type="paragraph" w:styleId="Citation">
    <w:name w:val="Quote"/>
    <w:aliases w:val="Tableaux"/>
    <w:basedOn w:val="Normal"/>
    <w:next w:val="Normal"/>
    <w:link w:val="CitationCar"/>
    <w:uiPriority w:val="29"/>
    <w:qFormat/>
    <w:rsid w:val="00EC48C4"/>
    <w:pPr>
      <w:spacing w:before="200"/>
      <w:ind w:left="864" w:right="864"/>
      <w:jc w:val="center"/>
    </w:pPr>
    <w:rPr>
      <w:b/>
      <w:i/>
      <w:iCs/>
      <w:color w:val="404040" w:themeColor="text1" w:themeTint="BF"/>
    </w:rPr>
  </w:style>
  <w:style w:type="character" w:customStyle="1" w:styleId="CitationCar">
    <w:name w:val="Citation Car"/>
    <w:aliases w:val="Tableaux Car"/>
    <w:basedOn w:val="Policepardfaut"/>
    <w:link w:val="Citation"/>
    <w:uiPriority w:val="29"/>
    <w:rsid w:val="00EC48C4"/>
    <w:rPr>
      <w:b/>
      <w:i/>
      <w:iCs/>
      <w:color w:val="404040" w:themeColor="text1" w:themeTint="BF"/>
    </w:rPr>
  </w:style>
  <w:style w:type="character" w:styleId="Numrodepage">
    <w:name w:val="page number"/>
    <w:basedOn w:val="Policepardfaut"/>
    <w:uiPriority w:val="99"/>
    <w:unhideWhenUsed/>
    <w:rsid w:val="00EC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france.gouv.fr/jopdf/common/jo_pdf.jsp?numJO=0&amp;dateJO=20110727&amp;numTexte=9&amp;pageDebut=12756&amp;pageFin=12757" TargetMode="External"/><Relationship Id="rId2" Type="http://schemas.openxmlformats.org/officeDocument/2006/relationships/hyperlink" Target="http://www.legifrance.gouv.fr/jopdf/common/jo_pdf.jsp?numJO=0&amp;dateJO=19650711&amp;numTexte=&amp;pageDebut=05950&amp;pageFin=" TargetMode="External"/><Relationship Id="rId1" Type="http://schemas.openxmlformats.org/officeDocument/2006/relationships/hyperlink" Target="http://www.legifrance.gouv.fr/jopdf/common/jo_pdf.jsp?numJO=0&amp;dateJO=20100713&amp;numTexte=1&amp;pageDebut=12905&amp;pageFin=12989" TargetMode="External"/><Relationship Id="rId4" Type="http://schemas.openxmlformats.org/officeDocument/2006/relationships/hyperlink" Target="http://www.legifrance.gouv.fr/jopdf/common/jo_pdf.jsp?numJO=0&amp;dateJO=20120223&amp;numTexte=24&amp;pageDebut=03071&amp;pageFin=030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1509</Words>
  <Characters>8304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Solstas Lab Partners</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Sonagnon Hounwanou</dc:creator>
  <cp:keywords/>
  <dc:description/>
  <cp:lastModifiedBy>Sonagnon Hounwanou</cp:lastModifiedBy>
  <cp:revision>1</cp:revision>
  <dcterms:created xsi:type="dcterms:W3CDTF">2017-03-17T10:07:00Z</dcterms:created>
  <dcterms:modified xsi:type="dcterms:W3CDTF">2017-03-17T10:08:00Z</dcterms:modified>
</cp:coreProperties>
</file>